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8873" w14:textId="3C96F3E1" w:rsidR="001A38F4" w:rsidRPr="00F76D26" w:rsidRDefault="00137ECA" w:rsidP="00E77078">
      <w:pPr>
        <w:rPr>
          <w:b/>
          <w:bCs/>
          <w:sz w:val="32"/>
          <w:szCs w:val="32"/>
        </w:rPr>
      </w:pPr>
      <w:r>
        <w:rPr>
          <w:noProof/>
        </w:rPr>
        <w:drawing>
          <wp:anchor distT="0" distB="0" distL="114300" distR="114300" simplePos="0" relativeHeight="251661312" behindDoc="0" locked="0" layoutInCell="1" allowOverlap="1" wp14:anchorId="35CE719F" wp14:editId="56EAB935">
            <wp:simplePos x="0" y="0"/>
            <wp:positionH relativeFrom="column">
              <wp:posOffset>5966460</wp:posOffset>
            </wp:positionH>
            <wp:positionV relativeFrom="paragraph">
              <wp:posOffset>1741805</wp:posOffset>
            </wp:positionV>
            <wp:extent cx="685800" cy="279400"/>
            <wp:effectExtent l="0" t="0" r="0" b="6350"/>
            <wp:wrapNone/>
            <wp:docPr id="6" name="Picture 6">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6" name="Picture 6">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279400"/>
                    </a:xfrm>
                    <a:prstGeom prst="rect">
                      <a:avLst/>
                    </a:prstGeom>
                  </pic:spPr>
                </pic:pic>
              </a:graphicData>
            </a:graphic>
            <wp14:sizeRelV relativeFrom="margin">
              <wp14:pctHeight>0</wp14:pctHeight>
            </wp14:sizeRelV>
          </wp:anchor>
        </w:drawing>
      </w:r>
      <w:r w:rsidR="00D96751" w:rsidRPr="00F76D26">
        <w:rPr>
          <w:b/>
          <w:bCs/>
          <w:noProof/>
          <w:sz w:val="32"/>
          <w:szCs w:val="32"/>
        </w:rPr>
        <w:drawing>
          <wp:inline distT="0" distB="0" distL="0" distR="0" wp14:anchorId="12855CEB" wp14:editId="460B81D0">
            <wp:extent cx="6650990"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9671" cy="1697663"/>
                    </a:xfrm>
                    <a:prstGeom prst="rect">
                      <a:avLst/>
                    </a:prstGeom>
                  </pic:spPr>
                </pic:pic>
              </a:graphicData>
            </a:graphic>
          </wp:inline>
        </w:drawing>
      </w:r>
    </w:p>
    <w:p w14:paraId="70A0B424" w14:textId="40916824" w:rsidR="00B82C2D" w:rsidRPr="00F76D26" w:rsidRDefault="001C47FF" w:rsidP="003E0178">
      <w:pPr>
        <w:jc w:val="both"/>
        <w:rPr>
          <w:sz w:val="20"/>
          <w:szCs w:val="20"/>
        </w:rPr>
      </w:pPr>
      <w:r>
        <w:t>E</w:t>
      </w:r>
      <w:r w:rsidR="009E65A5">
        <w:t>DITORIAL</w:t>
      </w:r>
      <w:r w:rsidR="00B82C2D">
        <w:t xml:space="preserve"> | </w:t>
      </w:r>
      <w:r w:rsidR="00B82C2D" w:rsidRPr="004A5C0C">
        <w:rPr>
          <w:i/>
          <w:iCs/>
          <w:noProof/>
          <w:sz w:val="20"/>
          <w:szCs w:val="20"/>
        </w:rPr>
        <w:drawing>
          <wp:inline distT="0" distB="0" distL="0" distR="0" wp14:anchorId="61FF5F43" wp14:editId="1CF6830E">
            <wp:extent cx="123190" cy="1231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pen_Acces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235" cy="123235"/>
                    </a:xfrm>
                    <a:prstGeom prst="rect">
                      <a:avLst/>
                    </a:prstGeom>
                  </pic:spPr>
                </pic:pic>
              </a:graphicData>
            </a:graphic>
          </wp:inline>
        </w:drawing>
      </w:r>
      <w:r w:rsidR="00B82C2D" w:rsidRPr="00F76D26">
        <w:rPr>
          <w:b/>
          <w:bCs/>
          <w:sz w:val="20"/>
          <w:szCs w:val="20"/>
        </w:rPr>
        <w:t xml:space="preserve"> </w:t>
      </w:r>
      <w:r w:rsidR="00B82C2D" w:rsidRPr="004A5C0C">
        <w:rPr>
          <w:sz w:val="20"/>
          <w:szCs w:val="20"/>
        </w:rPr>
        <w:t xml:space="preserve">Open Access | </w:t>
      </w:r>
      <w:r w:rsidR="00124445">
        <w:rPr>
          <w:i/>
          <w:iCs/>
          <w:sz w:val="20"/>
          <w:szCs w:val="20"/>
        </w:rPr>
        <w:t xml:space="preserve">Received: </w:t>
      </w:r>
      <w:r w:rsidR="00CB1F0C">
        <w:rPr>
          <w:sz w:val="20"/>
          <w:szCs w:val="20"/>
        </w:rPr>
        <w:t>202</w:t>
      </w:r>
      <w:r>
        <w:rPr>
          <w:sz w:val="20"/>
          <w:szCs w:val="20"/>
        </w:rPr>
        <w:t>4</w:t>
      </w:r>
      <w:r w:rsidR="003E0178">
        <w:rPr>
          <w:sz w:val="20"/>
          <w:szCs w:val="20"/>
        </w:rPr>
        <w:t>-</w:t>
      </w:r>
      <w:r w:rsidR="009F3E7E">
        <w:rPr>
          <w:sz w:val="20"/>
          <w:szCs w:val="20"/>
        </w:rPr>
        <w:t>10</w:t>
      </w:r>
      <w:r w:rsidR="003E0178">
        <w:rPr>
          <w:sz w:val="20"/>
          <w:szCs w:val="20"/>
        </w:rPr>
        <w:t>-1</w:t>
      </w:r>
      <w:r>
        <w:rPr>
          <w:sz w:val="20"/>
          <w:szCs w:val="20"/>
        </w:rPr>
        <w:t>6</w:t>
      </w:r>
      <w:r w:rsidR="00124445">
        <w:rPr>
          <w:sz w:val="20"/>
          <w:szCs w:val="20"/>
        </w:rPr>
        <w:t xml:space="preserve"> | </w:t>
      </w:r>
      <w:r w:rsidR="00124445">
        <w:rPr>
          <w:i/>
          <w:iCs/>
          <w:sz w:val="20"/>
          <w:szCs w:val="20"/>
        </w:rPr>
        <w:t>Accepted</w:t>
      </w:r>
      <w:r w:rsidR="00B82C2D">
        <w:rPr>
          <w:i/>
          <w:iCs/>
          <w:sz w:val="20"/>
          <w:szCs w:val="20"/>
        </w:rPr>
        <w:t xml:space="preserve">: </w:t>
      </w:r>
      <w:r w:rsidR="003E0178">
        <w:rPr>
          <w:sz w:val="20"/>
          <w:szCs w:val="20"/>
        </w:rPr>
        <w:t>202</w:t>
      </w:r>
      <w:r>
        <w:rPr>
          <w:sz w:val="20"/>
          <w:szCs w:val="20"/>
        </w:rPr>
        <w:t>4</w:t>
      </w:r>
      <w:r w:rsidR="003E0178">
        <w:rPr>
          <w:sz w:val="20"/>
          <w:szCs w:val="20"/>
        </w:rPr>
        <w:t>-</w:t>
      </w:r>
      <w:r w:rsidR="009F3E7E">
        <w:rPr>
          <w:sz w:val="20"/>
          <w:szCs w:val="20"/>
        </w:rPr>
        <w:t>11</w:t>
      </w:r>
      <w:r w:rsidR="003E0178">
        <w:rPr>
          <w:sz w:val="20"/>
          <w:szCs w:val="20"/>
        </w:rPr>
        <w:t>-</w:t>
      </w:r>
      <w:r w:rsidR="009F3E7E">
        <w:rPr>
          <w:sz w:val="20"/>
          <w:szCs w:val="20"/>
        </w:rPr>
        <w:t>05</w:t>
      </w:r>
      <w:r w:rsidR="004A5C0C">
        <w:rPr>
          <w:sz w:val="20"/>
          <w:szCs w:val="20"/>
        </w:rPr>
        <w:t xml:space="preserve"> </w:t>
      </w:r>
      <w:r w:rsidR="00124445">
        <w:rPr>
          <w:sz w:val="20"/>
          <w:szCs w:val="20"/>
        </w:rPr>
        <w:t xml:space="preserve">| </w:t>
      </w:r>
      <w:r w:rsidR="00124445">
        <w:rPr>
          <w:i/>
          <w:iCs/>
          <w:sz w:val="20"/>
          <w:szCs w:val="20"/>
        </w:rPr>
        <w:t xml:space="preserve">Published: </w:t>
      </w:r>
      <w:r w:rsidR="003E0178">
        <w:rPr>
          <w:sz w:val="20"/>
          <w:szCs w:val="20"/>
        </w:rPr>
        <w:t>202</w:t>
      </w:r>
      <w:r>
        <w:rPr>
          <w:sz w:val="20"/>
          <w:szCs w:val="20"/>
        </w:rPr>
        <w:t>4</w:t>
      </w:r>
      <w:r w:rsidR="003E0178">
        <w:rPr>
          <w:sz w:val="20"/>
          <w:szCs w:val="20"/>
        </w:rPr>
        <w:t>-</w:t>
      </w:r>
      <w:r w:rsidR="009F3E7E">
        <w:rPr>
          <w:sz w:val="20"/>
          <w:szCs w:val="20"/>
        </w:rPr>
        <w:t>11</w:t>
      </w:r>
      <w:r w:rsidR="00124445">
        <w:rPr>
          <w:sz w:val="20"/>
          <w:szCs w:val="20"/>
        </w:rPr>
        <w:t>-3</w:t>
      </w:r>
      <w:r w:rsidR="009F3E7E">
        <w:rPr>
          <w:sz w:val="20"/>
          <w:szCs w:val="20"/>
        </w:rPr>
        <w:t>0</w:t>
      </w:r>
    </w:p>
    <w:p w14:paraId="495E64D5" w14:textId="77777777" w:rsidR="000043DE" w:rsidRDefault="000043DE" w:rsidP="00534D56">
      <w:pPr>
        <w:rPr>
          <w:b/>
          <w:bCs/>
          <w:sz w:val="32"/>
          <w:szCs w:val="32"/>
        </w:rPr>
      </w:pPr>
      <w:bookmarkStart w:id="0" w:name="_Hlk183814226"/>
      <w:r w:rsidRPr="000043DE">
        <w:rPr>
          <w:b/>
          <w:bCs/>
          <w:sz w:val="32"/>
          <w:szCs w:val="32"/>
        </w:rPr>
        <w:t>Afghanistan: Girls plight to access education</w:t>
      </w:r>
    </w:p>
    <w:bookmarkEnd w:id="0"/>
    <w:p w14:paraId="254A940D" w14:textId="0F40F0B1" w:rsidR="00E77078" w:rsidRPr="001C25BA" w:rsidRDefault="003104C7" w:rsidP="00534D56">
      <w:pPr>
        <w:rPr>
          <w:b/>
          <w:bCs/>
          <w:noProof/>
          <w:sz w:val="24"/>
          <w:szCs w:val="24"/>
          <w:vertAlign w:val="superscript"/>
        </w:rPr>
      </w:pPr>
      <w:r>
        <w:rPr>
          <w:rFonts w:cstheme="minorHAnsi"/>
          <w:b/>
          <w:bCs/>
          <w:sz w:val="24"/>
          <w:szCs w:val="24"/>
        </w:rPr>
        <w:t>Ahmad Neyazi</w:t>
      </w:r>
      <w:r w:rsidR="009F3E7E">
        <w:rPr>
          <w:rFonts w:cstheme="minorHAnsi"/>
          <w:color w:val="1E9A6E"/>
          <w:sz w:val="24"/>
          <w:szCs w:val="24"/>
          <w:vertAlign w:val="superscript"/>
        </w:rPr>
        <w:t>1</w:t>
      </w:r>
      <w:r w:rsidR="009F3E7E" w:rsidRPr="00FE4413">
        <w:rPr>
          <w:rStyle w:val="FootnoteReference"/>
          <w:rFonts w:ascii="Segoe UI Symbol" w:hAnsi="Segoe UI Symbol" w:cs="Segoe UI Symbol"/>
          <w:sz w:val="24"/>
          <w:szCs w:val="24"/>
        </w:rPr>
        <w:footnoteReference w:customMarkFollows="1" w:id="1"/>
        <w:t>✉</w:t>
      </w:r>
    </w:p>
    <w:p w14:paraId="3C748350" w14:textId="6A242BFA" w:rsidR="00534D56" w:rsidRDefault="009F3E7E" w:rsidP="00534D56">
      <w:pPr>
        <w:spacing w:after="0"/>
        <w:jc w:val="both"/>
        <w:rPr>
          <w:rFonts w:cstheme="minorHAnsi"/>
          <w:sz w:val="18"/>
          <w:szCs w:val="18"/>
        </w:rPr>
      </w:pPr>
      <w:r>
        <w:rPr>
          <w:rFonts w:cstheme="minorHAnsi"/>
          <w:b/>
          <w:bCs/>
          <w:sz w:val="18"/>
          <w:szCs w:val="18"/>
          <w:vertAlign w:val="superscript"/>
        </w:rPr>
        <w:t>1</w:t>
      </w:r>
      <w:r w:rsidR="007B033E" w:rsidRPr="00E337C0">
        <w:rPr>
          <w:rFonts w:cstheme="minorHAnsi"/>
          <w:b/>
          <w:bCs/>
          <w:color w:val="1E9A6E"/>
          <w:sz w:val="18"/>
          <w:szCs w:val="18"/>
          <w:vertAlign w:val="superscript"/>
        </w:rPr>
        <w:t xml:space="preserve"> </w:t>
      </w:r>
      <w:r w:rsidR="003104C7">
        <w:rPr>
          <w:rFonts w:cstheme="minorHAnsi"/>
          <w:sz w:val="18"/>
          <w:szCs w:val="18"/>
        </w:rPr>
        <w:t>Afghanistan Center for Epidemiological Studies, Herat, Afghanistan</w:t>
      </w:r>
    </w:p>
    <w:p w14:paraId="7D1DC0AE" w14:textId="47619AFD" w:rsidR="000B249B" w:rsidRPr="00E337C0" w:rsidRDefault="000B249B" w:rsidP="000B249B">
      <w:pPr>
        <w:spacing w:after="0" w:line="240" w:lineRule="auto"/>
        <w:jc w:val="both"/>
        <w:rPr>
          <w:rFonts w:cstheme="minorHAnsi"/>
          <w:b/>
          <w:bCs/>
          <w:sz w:val="18"/>
          <w:szCs w:val="18"/>
          <w:vertAlign w:val="superscript"/>
        </w:rPr>
      </w:pPr>
    </w:p>
    <w:p w14:paraId="41C39DDD" w14:textId="315DF584" w:rsidR="008E0E8E" w:rsidRPr="00E337C0" w:rsidRDefault="008E0E8E" w:rsidP="002C58A4">
      <w:pPr>
        <w:spacing w:after="0" w:line="240" w:lineRule="auto"/>
        <w:jc w:val="both"/>
        <w:rPr>
          <w:rFonts w:cstheme="minorHAnsi"/>
          <w:b/>
          <w:bCs/>
          <w:sz w:val="18"/>
          <w:szCs w:val="18"/>
          <w:vertAlign w:val="superscript"/>
        </w:rPr>
      </w:pPr>
    </w:p>
    <w:p w14:paraId="701CF633" w14:textId="4D020C23" w:rsidR="007861DF" w:rsidRPr="00E92274" w:rsidRDefault="007861DF" w:rsidP="000B249B">
      <w:pPr>
        <w:spacing w:line="276" w:lineRule="auto"/>
        <w:jc w:val="both"/>
        <w:rPr>
          <w:b/>
          <w:bCs/>
          <w:sz w:val="24"/>
          <w:szCs w:val="24"/>
        </w:rPr>
        <w:sectPr w:rsidR="007861DF" w:rsidRPr="00E92274" w:rsidSect="00D7421F">
          <w:headerReference w:type="default" r:id="rId12"/>
          <w:footerReference w:type="default" r:id="rId13"/>
          <w:headerReference w:type="first" r:id="rId14"/>
          <w:footerReference w:type="first" r:id="rId15"/>
          <w:type w:val="continuous"/>
          <w:pgSz w:w="11906" w:h="16838" w:code="9"/>
          <w:pgMar w:top="720" w:right="720" w:bottom="720" w:left="720" w:header="720" w:footer="720" w:gutter="0"/>
          <w:pgNumType w:start="1"/>
          <w:cols w:space="720"/>
          <w:titlePg/>
          <w:docGrid w:linePitch="360"/>
        </w:sectPr>
      </w:pPr>
    </w:p>
    <w:p w14:paraId="47C9CF47" w14:textId="1AA02457" w:rsidR="00534D56" w:rsidRDefault="000043DE" w:rsidP="000043DE">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t>The Taliban's systematic imposition of restrictive policies against women and girls has unleashed a profound humanitarian crisis in Afghanistan, with far-reaching implications for health, education, and societal stability. The denial of fundamental rights, coupled with oppressive governance, has created an environment of despair, particularly for Afghan women who bear the brunt of these draconian measures (1).</w:t>
      </w:r>
    </w:p>
    <w:p w14:paraId="581A1E98" w14:textId="77777777" w:rsidR="00CF1933" w:rsidRDefault="00CF1933" w:rsidP="00CF1933">
      <w:pPr>
        <w:pStyle w:val="NoSpacing"/>
        <w:spacing w:line="276" w:lineRule="auto"/>
        <w:ind w:firstLine="720"/>
        <w:jc w:val="lowKashida"/>
        <w:rPr>
          <w:rFonts w:eastAsia="Times New Roman" w:cstheme="minorHAnsi"/>
          <w:color w:val="000000" w:themeColor="text1"/>
        </w:rPr>
      </w:pPr>
    </w:p>
    <w:p w14:paraId="1C637095" w14:textId="77777777" w:rsidR="000043DE" w:rsidRDefault="000043DE" w:rsidP="000043DE">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t>Central to this crisis is the Taliban's ban on female education beyond primary school, which has resulted in a cascade of detrimental outcomes. The prohibition not only denies girls their right to education but also undermines the future of Afghanistan's healthcare workforce. Women are now barred from pursuing medical training, exacerbating an already critical shortage of female healthcare professionals. This shortage is compounded by policies requiring women to be treated only by female doctors, creating insurmountable barriers to accessing even basic medical care (1).</w:t>
      </w:r>
    </w:p>
    <w:p w14:paraId="6B84F759" w14:textId="77777777" w:rsidR="000043DE" w:rsidRDefault="000043DE" w:rsidP="000043DE">
      <w:pPr>
        <w:pStyle w:val="NoSpacing"/>
        <w:spacing w:line="276" w:lineRule="auto"/>
        <w:ind w:firstLine="720"/>
        <w:jc w:val="lowKashida"/>
        <w:rPr>
          <w:rFonts w:eastAsia="Times New Roman" w:cstheme="minorHAnsi"/>
          <w:color w:val="000000" w:themeColor="text1"/>
        </w:rPr>
      </w:pPr>
    </w:p>
    <w:p w14:paraId="6BE00CEA" w14:textId="40A3EB41" w:rsidR="00CF1933" w:rsidRDefault="000043DE" w:rsidP="000043DE">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t xml:space="preserve">The impact on maternal and newborn health has been particularly catastrophic. Restrictions on healthcare access, combined with the limited availability of female medical practitioners, have escalated maternal and neonatal mortality rates. Public health services, already fragile due to decades of </w:t>
      </w:r>
      <w:r w:rsidRPr="000043DE">
        <w:rPr>
          <w:rFonts w:eastAsia="Times New Roman" w:cstheme="minorHAnsi"/>
          <w:color w:val="000000" w:themeColor="text1"/>
        </w:rPr>
        <w:t>instability and poverty, are collapsing under the weight of these regressive policies (2).</w:t>
      </w:r>
      <w:r w:rsidR="00CF1933">
        <w:rPr>
          <w:noProof/>
          <w:lang w:val="en-US"/>
        </w:rPr>
        <w:drawing>
          <wp:anchor distT="0" distB="0" distL="114300" distR="114300" simplePos="0" relativeHeight="251664384" behindDoc="1" locked="0" layoutInCell="1" allowOverlap="1" wp14:anchorId="1D561DD2" wp14:editId="07AE5752">
            <wp:simplePos x="0" y="0"/>
            <wp:positionH relativeFrom="column">
              <wp:posOffset>2459990</wp:posOffset>
            </wp:positionH>
            <wp:positionV relativeFrom="page">
              <wp:posOffset>9770110</wp:posOffset>
            </wp:positionV>
            <wp:extent cx="838200" cy="292100"/>
            <wp:effectExtent l="0" t="0" r="0" b="0"/>
            <wp:wrapNone/>
            <wp:docPr id="9" name="Picture 9">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9" name="Picture 9">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8200" cy="292100"/>
                    </a:xfrm>
                    <a:prstGeom prst="rect">
                      <a:avLst/>
                    </a:prstGeom>
                  </pic:spPr>
                </pic:pic>
              </a:graphicData>
            </a:graphic>
          </wp:anchor>
        </w:drawing>
      </w:r>
    </w:p>
    <w:p w14:paraId="08E65CEB" w14:textId="77777777" w:rsidR="000043DE" w:rsidRDefault="000043DE" w:rsidP="00CF1933">
      <w:pPr>
        <w:pStyle w:val="NoSpacing"/>
        <w:spacing w:line="276" w:lineRule="auto"/>
        <w:ind w:firstLine="720"/>
        <w:jc w:val="lowKashida"/>
        <w:rPr>
          <w:rFonts w:eastAsia="Times New Roman" w:cstheme="minorHAnsi"/>
          <w:color w:val="000000" w:themeColor="text1"/>
        </w:rPr>
      </w:pPr>
    </w:p>
    <w:p w14:paraId="2A588A83" w14:textId="75318C75" w:rsidR="00CF1933" w:rsidRPr="00CF1933" w:rsidRDefault="000043DE" w:rsidP="00CF1933">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t>The professional environment for female healthcare workers is equally disheartening. With wages reduced to a meager $70 per month and increasing job insecurity, many female professionals are abandoning the field (3). This exodus not only jeopardizes immediate healthcare needs but also threatens the long-term sustainability of medical services for Afghan women and children (2-3).</w:t>
      </w:r>
    </w:p>
    <w:p w14:paraId="2C0319B8" w14:textId="122720C4" w:rsidR="00CF1933" w:rsidRDefault="00CF1933" w:rsidP="00534D56">
      <w:pPr>
        <w:pStyle w:val="NoSpacing"/>
        <w:spacing w:line="276" w:lineRule="auto"/>
        <w:ind w:firstLine="720"/>
        <w:jc w:val="lowKashida"/>
        <w:rPr>
          <w:rFonts w:eastAsia="Times New Roman" w:cstheme="minorHAnsi"/>
          <w:color w:val="000000" w:themeColor="text1"/>
        </w:rPr>
      </w:pPr>
    </w:p>
    <w:p w14:paraId="0220CB69" w14:textId="1D9715E7" w:rsidR="000043DE" w:rsidRDefault="000043DE" w:rsidP="00534D56">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t>Moreover, the mental health toll on Afghan women—both those excluded from education and those struggling within the healthcare system—is immense. Marginalized and silenced, women face isolation and discrimination, leading to widespread psychological distress. This erosion of dignity and opportunity reflects a broader societal collapse under Taliban rule (2).</w:t>
      </w:r>
    </w:p>
    <w:p w14:paraId="1BC6B3C4" w14:textId="30EB2645" w:rsidR="000043DE" w:rsidRDefault="000043DE" w:rsidP="00534D56">
      <w:pPr>
        <w:pStyle w:val="NoSpacing"/>
        <w:spacing w:line="276" w:lineRule="auto"/>
        <w:ind w:firstLine="720"/>
        <w:jc w:val="lowKashida"/>
        <w:rPr>
          <w:rFonts w:eastAsia="Times New Roman" w:cstheme="minorHAnsi"/>
          <w:color w:val="000000" w:themeColor="text1"/>
        </w:rPr>
      </w:pPr>
    </w:p>
    <w:p w14:paraId="4827E428" w14:textId="6D6FEF5A" w:rsidR="000043DE" w:rsidRDefault="000043DE" w:rsidP="00534D56">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t>The path forward requires more than emergency aid; it demands systemic reform. Afghan women must be reintegrated into decision-making processes to ensure that national policies address their needs and aspirations. Only by empowering women can Afghanistan hope to rebuild its healthcare system and restore dignity to its citizens (4).</w:t>
      </w:r>
    </w:p>
    <w:p w14:paraId="7A3E38D1" w14:textId="0C9EE8D6" w:rsidR="000043DE" w:rsidRDefault="000043DE" w:rsidP="00534D56">
      <w:pPr>
        <w:pStyle w:val="NoSpacing"/>
        <w:spacing w:line="276" w:lineRule="auto"/>
        <w:ind w:firstLine="720"/>
        <w:jc w:val="lowKashida"/>
        <w:rPr>
          <w:rFonts w:eastAsia="Times New Roman" w:cstheme="minorHAnsi"/>
          <w:color w:val="000000" w:themeColor="text1"/>
        </w:rPr>
      </w:pPr>
      <w:r w:rsidRPr="001373E1">
        <w:rPr>
          <w:rFonts w:cstheme="minorHAnsi"/>
          <w:noProof/>
          <w:lang w:val="en-US"/>
        </w:rPr>
        <mc:AlternateContent>
          <mc:Choice Requires="wps">
            <w:drawing>
              <wp:anchor distT="45720" distB="45720" distL="114300" distR="114300" simplePos="0" relativeHeight="251663360" behindDoc="0" locked="0" layoutInCell="1" allowOverlap="1" wp14:anchorId="49C7FF59" wp14:editId="6894DD5E">
                <wp:simplePos x="0" y="0"/>
                <wp:positionH relativeFrom="margin">
                  <wp:posOffset>3012440</wp:posOffset>
                </wp:positionH>
                <wp:positionV relativeFrom="margin">
                  <wp:posOffset>9065113</wp:posOffset>
                </wp:positionV>
                <wp:extent cx="2910840" cy="463061"/>
                <wp:effectExtent l="0" t="0" r="22860" b="133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463061"/>
                        </a:xfrm>
                        <a:prstGeom prst="rect">
                          <a:avLst/>
                        </a:prstGeom>
                        <a:noFill/>
                        <a:ln w="9525">
                          <a:solidFill>
                            <a:schemeClr val="bg2">
                              <a:lumMod val="90000"/>
                            </a:schemeClr>
                          </a:solidFill>
                          <a:miter lim="800000"/>
                          <a:headEnd/>
                          <a:tailEnd/>
                        </a:ln>
                      </wps:spPr>
                      <wps:txbx>
                        <w:txbxContent>
                          <w:p w14:paraId="2ED41862" w14:textId="38A81AE9" w:rsidR="00060DEA" w:rsidRPr="003823D7" w:rsidRDefault="00060DEA" w:rsidP="003104C7">
                            <w:pPr>
                              <w:spacing w:after="0" w:line="240" w:lineRule="auto"/>
                              <w:jc w:val="both"/>
                              <w:rPr>
                                <w:rFonts w:cstheme="minorHAnsi"/>
                                <w:sz w:val="20"/>
                                <w:szCs w:val="20"/>
                              </w:rPr>
                            </w:pPr>
                            <w:r>
                              <w:rPr>
                                <w:rFonts w:eastAsia="Times New Roman" w:cstheme="minorHAnsi"/>
                                <w:color w:val="767171" w:themeColor="background2" w:themeShade="80"/>
                                <w:sz w:val="16"/>
                                <w:szCs w:val="16"/>
                              </w:rPr>
                              <w:t>Cite</w:t>
                            </w:r>
                            <w:r w:rsidR="00534D56">
                              <w:rPr>
                                <w:rFonts w:eastAsia="Times New Roman" w:cstheme="minorHAnsi"/>
                                <w:color w:val="767171" w:themeColor="background2" w:themeShade="80"/>
                                <w:sz w:val="16"/>
                                <w:szCs w:val="16"/>
                              </w:rPr>
                              <w:t xml:space="preserve"> this article as: </w:t>
                            </w:r>
                            <w:r w:rsidR="000043DE">
                              <w:rPr>
                                <w:rFonts w:eastAsia="Times New Roman" w:cstheme="minorHAnsi"/>
                                <w:color w:val="767171" w:themeColor="background2" w:themeShade="80"/>
                                <w:sz w:val="16"/>
                                <w:szCs w:val="16"/>
                              </w:rPr>
                              <w:t>Neyazi, A</w:t>
                            </w:r>
                            <w:r>
                              <w:rPr>
                                <w:rFonts w:eastAsia="Times New Roman" w:cstheme="minorHAnsi"/>
                                <w:color w:val="767171" w:themeColor="background2" w:themeShade="80"/>
                                <w:sz w:val="16"/>
                                <w:szCs w:val="16"/>
                              </w:rPr>
                              <w:t>.</w:t>
                            </w:r>
                            <w:r w:rsidRPr="00EB66B1">
                              <w:rPr>
                                <w:rFonts w:eastAsia="Times New Roman" w:cstheme="minorHAnsi"/>
                                <w:color w:val="767171" w:themeColor="background2" w:themeShade="80"/>
                                <w:sz w:val="16"/>
                                <w:szCs w:val="16"/>
                              </w:rPr>
                              <w:t xml:space="preserve"> </w:t>
                            </w:r>
                            <w:r w:rsidR="000043DE" w:rsidRPr="000043DE">
                              <w:rPr>
                                <w:rFonts w:eastAsia="Times New Roman" w:cstheme="minorHAnsi"/>
                                <w:color w:val="767171" w:themeColor="background2" w:themeShade="80"/>
                                <w:sz w:val="16"/>
                                <w:szCs w:val="16"/>
                              </w:rPr>
                              <w:t>Afghanistan: Girls plight to access education</w:t>
                            </w:r>
                            <w:r>
                              <w:rPr>
                                <w:rFonts w:eastAsia="Times New Roman" w:cstheme="minorHAnsi"/>
                                <w:color w:val="767171" w:themeColor="background2" w:themeShade="80"/>
                                <w:sz w:val="16"/>
                                <w:szCs w:val="16"/>
                              </w:rPr>
                              <w:t xml:space="preserve">. </w:t>
                            </w:r>
                            <w:r w:rsidRPr="001C25BA">
                              <w:rPr>
                                <w:rFonts w:eastAsia="Times New Roman" w:cstheme="minorHAnsi"/>
                                <w:i/>
                                <w:iCs/>
                                <w:color w:val="767171" w:themeColor="background2" w:themeShade="80"/>
                                <w:sz w:val="16"/>
                                <w:szCs w:val="16"/>
                              </w:rPr>
                              <w:t>Razi International Medical Journal</w:t>
                            </w:r>
                            <w:r w:rsidR="00534D56">
                              <w:rPr>
                                <w:rFonts w:eastAsia="Times New Roman" w:cstheme="minorHAnsi"/>
                                <w:color w:val="767171" w:themeColor="background2" w:themeShade="80"/>
                                <w:sz w:val="16"/>
                                <w:szCs w:val="16"/>
                              </w:rPr>
                              <w:t xml:space="preserve">, </w:t>
                            </w:r>
                            <w:r w:rsidR="003104C7">
                              <w:rPr>
                                <w:rFonts w:eastAsia="Times New Roman" w:cstheme="minorHAnsi"/>
                                <w:color w:val="767171" w:themeColor="background2" w:themeShade="80"/>
                                <w:sz w:val="16"/>
                                <w:szCs w:val="16"/>
                              </w:rPr>
                              <w:t>4</w:t>
                            </w:r>
                            <w:r w:rsidR="00534D56">
                              <w:rPr>
                                <w:rFonts w:eastAsia="Times New Roman" w:cstheme="minorHAnsi"/>
                                <w:color w:val="767171" w:themeColor="background2" w:themeShade="80"/>
                                <w:sz w:val="16"/>
                                <w:szCs w:val="16"/>
                              </w:rPr>
                              <w:t>(</w:t>
                            </w:r>
                            <w:r w:rsidR="000043DE">
                              <w:rPr>
                                <w:rFonts w:eastAsia="Times New Roman" w:cstheme="minorHAnsi"/>
                                <w:color w:val="767171" w:themeColor="background2" w:themeShade="80"/>
                                <w:sz w:val="16"/>
                                <w:szCs w:val="16"/>
                              </w:rPr>
                              <w:t>2</w:t>
                            </w:r>
                            <w:r w:rsidRPr="00EB66B1">
                              <w:rPr>
                                <w:rFonts w:eastAsia="Times New Roman" w:cstheme="minorHAnsi"/>
                                <w:color w:val="767171" w:themeColor="background2" w:themeShade="80"/>
                                <w:sz w:val="16"/>
                                <w:szCs w:val="16"/>
                              </w:rPr>
                              <w:t>).</w:t>
                            </w:r>
                            <w:r>
                              <w:rPr>
                                <w:rFonts w:eastAsia="Times New Roman" w:cstheme="minorHAnsi"/>
                                <w:color w:val="767171" w:themeColor="background2" w:themeShade="80"/>
                                <w:sz w:val="16"/>
                                <w:szCs w:val="16"/>
                              </w:rPr>
                              <w:t xml:space="preserve"> DOI: </w:t>
                            </w:r>
                            <w:hyperlink r:id="rId18" w:history="1">
                              <w:r w:rsidR="000043DE">
                                <w:rPr>
                                  <w:rStyle w:val="Hyperlink"/>
                                  <w:rFonts w:eastAsia="Times New Roman" w:cstheme="minorHAnsi"/>
                                  <w:color w:val="767171" w:themeColor="background2" w:themeShade="80"/>
                                  <w:sz w:val="16"/>
                                  <w:szCs w:val="16"/>
                                  <w:u w:val="none"/>
                                </w:rPr>
                                <w:t>10.56101/rimj.v4i2.170</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7FF59" id="_x0000_t202" coordsize="21600,21600" o:spt="202" path="m,l,21600r21600,l21600,xe">
                <v:stroke joinstyle="miter"/>
                <v:path gradientshapeok="t" o:connecttype="rect"/>
              </v:shapetype>
              <v:shape id="Text Box 2" o:spid="_x0000_s1026" type="#_x0000_t202" style="position:absolute;left:0;text-align:left;margin-left:237.2pt;margin-top:713.8pt;width:229.2pt;height:36.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" filled="f" strokecolor="#cfcdcd [2894]">
                <v:textbox>
                  <w:txbxContent>
                    <w:p w14:paraId="2ED41862" w14:textId="38A81AE9" w:rsidR="00060DEA" w:rsidRPr="003823D7" w:rsidRDefault="00060DEA" w:rsidP="003104C7">
                      <w:pPr>
                        <w:spacing w:after="0" w:line="240" w:lineRule="auto"/>
                        <w:jc w:val="both"/>
                        <w:rPr>
                          <w:rFonts w:cstheme="minorHAnsi"/>
                          <w:sz w:val="20"/>
                          <w:szCs w:val="20"/>
                        </w:rPr>
                      </w:pPr>
                      <w:r>
                        <w:rPr>
                          <w:rFonts w:eastAsia="Times New Roman" w:cstheme="minorHAnsi"/>
                          <w:color w:val="767171" w:themeColor="background2" w:themeShade="80"/>
                          <w:sz w:val="16"/>
                          <w:szCs w:val="16"/>
                        </w:rPr>
                        <w:t>Cite</w:t>
                      </w:r>
                      <w:r w:rsidR="00534D56">
                        <w:rPr>
                          <w:rFonts w:eastAsia="Times New Roman" w:cstheme="minorHAnsi"/>
                          <w:color w:val="767171" w:themeColor="background2" w:themeShade="80"/>
                          <w:sz w:val="16"/>
                          <w:szCs w:val="16"/>
                        </w:rPr>
                        <w:t xml:space="preserve"> this article as: </w:t>
                      </w:r>
                      <w:r w:rsidR="000043DE">
                        <w:rPr>
                          <w:rFonts w:eastAsia="Times New Roman" w:cstheme="minorHAnsi"/>
                          <w:color w:val="767171" w:themeColor="background2" w:themeShade="80"/>
                          <w:sz w:val="16"/>
                          <w:szCs w:val="16"/>
                        </w:rPr>
                        <w:t>Neyazi, A</w:t>
                      </w:r>
                      <w:r>
                        <w:rPr>
                          <w:rFonts w:eastAsia="Times New Roman" w:cstheme="minorHAnsi"/>
                          <w:color w:val="767171" w:themeColor="background2" w:themeShade="80"/>
                          <w:sz w:val="16"/>
                          <w:szCs w:val="16"/>
                        </w:rPr>
                        <w:t>.</w:t>
                      </w:r>
                      <w:r w:rsidRPr="00EB66B1">
                        <w:rPr>
                          <w:rFonts w:eastAsia="Times New Roman" w:cstheme="minorHAnsi"/>
                          <w:color w:val="767171" w:themeColor="background2" w:themeShade="80"/>
                          <w:sz w:val="16"/>
                          <w:szCs w:val="16"/>
                        </w:rPr>
                        <w:t xml:space="preserve"> </w:t>
                      </w:r>
                      <w:r w:rsidR="000043DE" w:rsidRPr="000043DE">
                        <w:rPr>
                          <w:rFonts w:eastAsia="Times New Roman" w:cstheme="minorHAnsi"/>
                          <w:color w:val="767171" w:themeColor="background2" w:themeShade="80"/>
                          <w:sz w:val="16"/>
                          <w:szCs w:val="16"/>
                        </w:rPr>
                        <w:t>Afghanistan: Girls plight to access education</w:t>
                      </w:r>
                      <w:r>
                        <w:rPr>
                          <w:rFonts w:eastAsia="Times New Roman" w:cstheme="minorHAnsi"/>
                          <w:color w:val="767171" w:themeColor="background2" w:themeShade="80"/>
                          <w:sz w:val="16"/>
                          <w:szCs w:val="16"/>
                        </w:rPr>
                        <w:t xml:space="preserve">. </w:t>
                      </w:r>
                      <w:r w:rsidRPr="001C25BA">
                        <w:rPr>
                          <w:rFonts w:eastAsia="Times New Roman" w:cstheme="minorHAnsi"/>
                          <w:i/>
                          <w:iCs/>
                          <w:color w:val="767171" w:themeColor="background2" w:themeShade="80"/>
                          <w:sz w:val="16"/>
                          <w:szCs w:val="16"/>
                        </w:rPr>
                        <w:t>Razi International Medical Journal</w:t>
                      </w:r>
                      <w:r w:rsidR="00534D56">
                        <w:rPr>
                          <w:rFonts w:eastAsia="Times New Roman" w:cstheme="minorHAnsi"/>
                          <w:color w:val="767171" w:themeColor="background2" w:themeShade="80"/>
                          <w:sz w:val="16"/>
                          <w:szCs w:val="16"/>
                        </w:rPr>
                        <w:t xml:space="preserve">, </w:t>
                      </w:r>
                      <w:r w:rsidR="003104C7">
                        <w:rPr>
                          <w:rFonts w:eastAsia="Times New Roman" w:cstheme="minorHAnsi"/>
                          <w:color w:val="767171" w:themeColor="background2" w:themeShade="80"/>
                          <w:sz w:val="16"/>
                          <w:szCs w:val="16"/>
                        </w:rPr>
                        <w:t>4</w:t>
                      </w:r>
                      <w:r w:rsidR="00534D56">
                        <w:rPr>
                          <w:rFonts w:eastAsia="Times New Roman" w:cstheme="minorHAnsi"/>
                          <w:color w:val="767171" w:themeColor="background2" w:themeShade="80"/>
                          <w:sz w:val="16"/>
                          <w:szCs w:val="16"/>
                        </w:rPr>
                        <w:t>(</w:t>
                      </w:r>
                      <w:r w:rsidR="000043DE">
                        <w:rPr>
                          <w:rFonts w:eastAsia="Times New Roman" w:cstheme="minorHAnsi"/>
                          <w:color w:val="767171" w:themeColor="background2" w:themeShade="80"/>
                          <w:sz w:val="16"/>
                          <w:szCs w:val="16"/>
                        </w:rPr>
                        <w:t>2</w:t>
                      </w:r>
                      <w:r w:rsidRPr="00EB66B1">
                        <w:rPr>
                          <w:rFonts w:eastAsia="Times New Roman" w:cstheme="minorHAnsi"/>
                          <w:color w:val="767171" w:themeColor="background2" w:themeShade="80"/>
                          <w:sz w:val="16"/>
                          <w:szCs w:val="16"/>
                        </w:rPr>
                        <w:t>).</w:t>
                      </w:r>
                      <w:r>
                        <w:rPr>
                          <w:rFonts w:eastAsia="Times New Roman" w:cstheme="minorHAnsi"/>
                          <w:color w:val="767171" w:themeColor="background2" w:themeShade="80"/>
                          <w:sz w:val="16"/>
                          <w:szCs w:val="16"/>
                        </w:rPr>
                        <w:t xml:space="preserve"> DOI: </w:t>
                      </w:r>
                      <w:hyperlink r:id="rId19" w:history="1">
                        <w:r w:rsidR="000043DE">
                          <w:rPr>
                            <w:rStyle w:val="Hyperlink"/>
                            <w:rFonts w:eastAsia="Times New Roman" w:cstheme="minorHAnsi"/>
                            <w:color w:val="767171" w:themeColor="background2" w:themeShade="80"/>
                            <w:sz w:val="16"/>
                            <w:szCs w:val="16"/>
                            <w:u w:val="none"/>
                          </w:rPr>
                          <w:t>10.56101/rimj.v4i2.170</w:t>
                        </w:r>
                      </w:hyperlink>
                    </w:p>
                  </w:txbxContent>
                </v:textbox>
                <w10:wrap anchorx="margin" anchory="margin"/>
              </v:shape>
            </w:pict>
          </mc:Fallback>
        </mc:AlternateContent>
      </w:r>
    </w:p>
    <w:p w14:paraId="3FA39015" w14:textId="50C3F22B" w:rsidR="000043DE" w:rsidRDefault="000043DE" w:rsidP="00534D56">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lastRenderedPageBreak/>
        <w:t>The exclusion of Afghan women from education, healthcare, and governance has set the nation on a path of deepening crisis. Without immediate and coordinated action, the suffering of Afghan women and girls will persist, and the country's public health infrastructure will face irreversible damage. The international community, in partnership with Afghanistan, must work to ensure that the rights and futures of Afghan women are no longer negotiable but safeguarded as a cornerstone of national recovery and stability (5).</w:t>
      </w:r>
    </w:p>
    <w:p w14:paraId="082E3BC2" w14:textId="70B736AC" w:rsidR="000043DE" w:rsidRDefault="000043DE" w:rsidP="00534D56">
      <w:pPr>
        <w:pStyle w:val="NoSpacing"/>
        <w:spacing w:line="276" w:lineRule="auto"/>
        <w:ind w:firstLine="720"/>
        <w:jc w:val="lowKashida"/>
        <w:rPr>
          <w:rFonts w:eastAsia="Times New Roman" w:cstheme="minorHAnsi"/>
          <w:color w:val="000000" w:themeColor="text1"/>
        </w:rPr>
      </w:pPr>
    </w:p>
    <w:p w14:paraId="30497153" w14:textId="5A6EE014" w:rsidR="00CF1933" w:rsidRDefault="000043DE" w:rsidP="000043DE">
      <w:pPr>
        <w:pStyle w:val="NoSpacing"/>
        <w:spacing w:line="276" w:lineRule="auto"/>
        <w:ind w:firstLine="720"/>
        <w:jc w:val="lowKashida"/>
        <w:rPr>
          <w:rFonts w:eastAsia="Times New Roman" w:cstheme="minorHAnsi"/>
          <w:color w:val="000000" w:themeColor="text1"/>
        </w:rPr>
      </w:pPr>
      <w:r w:rsidRPr="000043DE">
        <w:rPr>
          <w:rFonts w:eastAsia="Times New Roman" w:cstheme="minorHAnsi"/>
          <w:color w:val="000000" w:themeColor="text1"/>
        </w:rPr>
        <w:t>The international community bears a moral responsibility to act decisively. Governments, the United Nations, and global organizations must prioritize negotiations to ensure the delivery of humanitarian aid without interference. Additionally, mechanisms to fund essential workers and food security programs should be implemented to alleviate immediate suffering. Concurrently, the Taliban must be urged to respect human rights and reverse their oppressive policies, beginning with the restoration of education and employment opportunities for women.</w:t>
      </w:r>
    </w:p>
    <w:p w14:paraId="05FF1EDF" w14:textId="77777777" w:rsidR="00CF1933" w:rsidRDefault="00CF1933" w:rsidP="00534D56">
      <w:pPr>
        <w:pStyle w:val="NormalWeb"/>
        <w:spacing w:before="0" w:beforeAutospacing="0" w:after="0" w:afterAutospacing="0" w:line="276" w:lineRule="auto"/>
        <w:rPr>
          <w:rStyle w:val="Emphasis"/>
          <w:rFonts w:asciiTheme="minorHAnsi" w:hAnsiTheme="minorHAnsi" w:cstheme="minorHAnsi"/>
          <w:b/>
          <w:bCs/>
          <w:color w:val="252525"/>
          <w:sz w:val="22"/>
          <w:szCs w:val="22"/>
        </w:rPr>
      </w:pPr>
    </w:p>
    <w:p w14:paraId="4B2DB206" w14:textId="7BFBCD47" w:rsidR="00534D56" w:rsidRPr="005C2FB6" w:rsidRDefault="00534D56" w:rsidP="00534D56">
      <w:pPr>
        <w:pStyle w:val="NormalWeb"/>
        <w:spacing w:before="0" w:beforeAutospacing="0" w:after="0" w:afterAutospacing="0" w:line="276" w:lineRule="auto"/>
        <w:rPr>
          <w:rStyle w:val="Emphasis"/>
          <w:rFonts w:asciiTheme="minorHAnsi" w:hAnsiTheme="minorHAnsi" w:cstheme="minorHAnsi"/>
          <w:b/>
          <w:bCs/>
          <w:color w:val="252525"/>
          <w:sz w:val="22"/>
          <w:szCs w:val="22"/>
        </w:rPr>
      </w:pPr>
      <w:r w:rsidRPr="005C2FB6">
        <w:rPr>
          <w:rStyle w:val="Emphasis"/>
          <w:rFonts w:asciiTheme="minorHAnsi" w:hAnsiTheme="minorHAnsi" w:cstheme="minorHAnsi"/>
          <w:b/>
          <w:bCs/>
          <w:color w:val="252525"/>
          <w:sz w:val="22"/>
          <w:szCs w:val="22"/>
        </w:rPr>
        <w:t>Conflicts of interest</w:t>
      </w:r>
    </w:p>
    <w:p w14:paraId="33137E8D" w14:textId="7DAFD354" w:rsidR="00534D56" w:rsidRPr="00534D56" w:rsidRDefault="00534D56" w:rsidP="00534D56">
      <w:pPr>
        <w:pStyle w:val="NormalWeb"/>
        <w:spacing w:before="0" w:beforeAutospacing="0" w:after="0" w:afterAutospacing="0" w:line="276" w:lineRule="auto"/>
        <w:ind w:firstLine="720"/>
        <w:rPr>
          <w:rStyle w:val="Emphasis"/>
          <w:rFonts w:asciiTheme="minorHAnsi" w:hAnsiTheme="minorHAnsi" w:cstheme="minorHAnsi"/>
          <w:i w:val="0"/>
          <w:iCs w:val="0"/>
          <w:color w:val="252525"/>
          <w:sz w:val="22"/>
          <w:szCs w:val="22"/>
        </w:rPr>
      </w:pPr>
      <w:r w:rsidRPr="00534D56">
        <w:rPr>
          <w:rStyle w:val="Emphasis"/>
          <w:rFonts w:asciiTheme="minorHAnsi" w:hAnsiTheme="minorHAnsi" w:cstheme="minorHAnsi"/>
          <w:i w:val="0"/>
          <w:iCs w:val="0"/>
          <w:color w:val="252525"/>
          <w:sz w:val="22"/>
          <w:szCs w:val="22"/>
        </w:rPr>
        <w:t>None</w:t>
      </w:r>
      <w:r>
        <w:rPr>
          <w:rStyle w:val="Emphasis"/>
          <w:rFonts w:asciiTheme="minorHAnsi" w:hAnsiTheme="minorHAnsi" w:cstheme="minorHAnsi"/>
          <w:i w:val="0"/>
          <w:iCs w:val="0"/>
          <w:color w:val="252525"/>
          <w:sz w:val="22"/>
          <w:szCs w:val="22"/>
        </w:rPr>
        <w:t>.</w:t>
      </w:r>
    </w:p>
    <w:p w14:paraId="0DEAB00E" w14:textId="5785E6D4" w:rsidR="00534D56" w:rsidRPr="00BE4791" w:rsidRDefault="00534D56" w:rsidP="00534D56">
      <w:pPr>
        <w:pStyle w:val="NormalWeb"/>
        <w:spacing w:before="0" w:beforeAutospacing="0" w:after="0" w:afterAutospacing="0" w:line="276" w:lineRule="auto"/>
        <w:rPr>
          <w:rStyle w:val="Emphasis"/>
          <w:rFonts w:asciiTheme="minorHAnsi" w:hAnsiTheme="minorHAnsi" w:cstheme="minorHAnsi"/>
          <w:b/>
          <w:bCs/>
          <w:i w:val="0"/>
          <w:iCs w:val="0"/>
          <w:color w:val="252525"/>
          <w:sz w:val="22"/>
          <w:szCs w:val="22"/>
        </w:rPr>
      </w:pPr>
      <w:r w:rsidRPr="00BE4791">
        <w:rPr>
          <w:rStyle w:val="Emphasis"/>
          <w:rFonts w:asciiTheme="minorHAnsi" w:hAnsiTheme="minorHAnsi" w:cstheme="minorHAnsi"/>
          <w:b/>
          <w:bCs/>
          <w:color w:val="252525"/>
          <w:sz w:val="22"/>
          <w:szCs w:val="22"/>
        </w:rPr>
        <w:t>Author contribution</w:t>
      </w:r>
    </w:p>
    <w:p w14:paraId="7F70D1D6" w14:textId="715E5F05" w:rsidR="00534D56" w:rsidRPr="00534D56" w:rsidRDefault="000043DE" w:rsidP="00534D56">
      <w:pPr>
        <w:pStyle w:val="NormalWeb"/>
        <w:spacing w:before="0" w:beforeAutospacing="0" w:after="0" w:afterAutospacing="0" w:line="276" w:lineRule="auto"/>
        <w:ind w:firstLine="720"/>
        <w:rPr>
          <w:rStyle w:val="Emphasis"/>
          <w:rFonts w:asciiTheme="minorHAnsi" w:hAnsiTheme="minorHAnsi" w:cstheme="minorHAnsi"/>
          <w:i w:val="0"/>
          <w:iCs w:val="0"/>
          <w:color w:val="252525"/>
          <w:sz w:val="22"/>
          <w:szCs w:val="22"/>
        </w:rPr>
      </w:pPr>
      <w:r>
        <w:rPr>
          <w:rStyle w:val="Emphasis"/>
          <w:rFonts w:asciiTheme="minorHAnsi" w:hAnsiTheme="minorHAnsi" w:cstheme="minorHAnsi"/>
          <w:i w:val="0"/>
          <w:iCs w:val="0"/>
          <w:color w:val="252525"/>
          <w:sz w:val="22"/>
          <w:szCs w:val="22"/>
        </w:rPr>
        <w:t>This article has been written by a single author</w:t>
      </w:r>
      <w:r w:rsidR="00534D56">
        <w:rPr>
          <w:rStyle w:val="Emphasis"/>
          <w:rFonts w:asciiTheme="minorHAnsi" w:hAnsiTheme="minorHAnsi" w:cstheme="minorHAnsi"/>
          <w:i w:val="0"/>
          <w:iCs w:val="0"/>
          <w:color w:val="252525"/>
          <w:sz w:val="22"/>
          <w:szCs w:val="22"/>
        </w:rPr>
        <w:t>.</w:t>
      </w:r>
    </w:p>
    <w:p w14:paraId="262F0D42" w14:textId="1298B407" w:rsidR="00534D56" w:rsidRPr="00BE4791" w:rsidRDefault="00534D56" w:rsidP="00534D56">
      <w:pPr>
        <w:pStyle w:val="NormalWeb"/>
        <w:spacing w:before="0" w:beforeAutospacing="0" w:after="0" w:afterAutospacing="0" w:line="276" w:lineRule="auto"/>
        <w:rPr>
          <w:rStyle w:val="Emphasis"/>
          <w:rFonts w:asciiTheme="minorHAnsi" w:hAnsiTheme="minorHAnsi" w:cstheme="minorHAnsi"/>
          <w:b/>
          <w:bCs/>
          <w:i w:val="0"/>
          <w:iCs w:val="0"/>
          <w:color w:val="252525"/>
          <w:sz w:val="22"/>
          <w:szCs w:val="22"/>
        </w:rPr>
      </w:pPr>
      <w:r w:rsidRPr="00BE4791">
        <w:rPr>
          <w:rStyle w:val="Emphasis"/>
          <w:rFonts w:asciiTheme="minorHAnsi" w:hAnsiTheme="minorHAnsi" w:cstheme="minorHAnsi"/>
          <w:b/>
          <w:bCs/>
          <w:color w:val="252525"/>
          <w:sz w:val="22"/>
          <w:szCs w:val="22"/>
        </w:rPr>
        <w:t>Sources of funding</w:t>
      </w:r>
    </w:p>
    <w:p w14:paraId="761C6308" w14:textId="2B8ED7ED" w:rsidR="00534D56" w:rsidRPr="00534D56" w:rsidRDefault="00534D56" w:rsidP="00534D56">
      <w:pPr>
        <w:pStyle w:val="NormalWeb"/>
        <w:spacing w:before="0" w:beforeAutospacing="0" w:after="0" w:afterAutospacing="0" w:line="276" w:lineRule="auto"/>
        <w:ind w:firstLine="720"/>
        <w:rPr>
          <w:rStyle w:val="Emphasis"/>
          <w:rFonts w:asciiTheme="minorHAnsi" w:hAnsiTheme="minorHAnsi" w:cstheme="minorHAnsi"/>
          <w:i w:val="0"/>
          <w:iCs w:val="0"/>
          <w:color w:val="252525"/>
          <w:sz w:val="22"/>
          <w:szCs w:val="22"/>
        </w:rPr>
      </w:pPr>
      <w:r w:rsidRPr="00534D56">
        <w:rPr>
          <w:rStyle w:val="Emphasis"/>
          <w:rFonts w:asciiTheme="minorHAnsi" w:hAnsiTheme="minorHAnsi" w:cstheme="minorHAnsi"/>
          <w:i w:val="0"/>
          <w:iCs w:val="0"/>
          <w:color w:val="252525"/>
          <w:sz w:val="22"/>
          <w:szCs w:val="22"/>
        </w:rPr>
        <w:t>None</w:t>
      </w:r>
      <w:r>
        <w:rPr>
          <w:rStyle w:val="Emphasis"/>
          <w:rFonts w:asciiTheme="minorHAnsi" w:hAnsiTheme="minorHAnsi" w:cstheme="minorHAnsi"/>
          <w:i w:val="0"/>
          <w:iCs w:val="0"/>
          <w:color w:val="252525"/>
          <w:sz w:val="22"/>
          <w:szCs w:val="22"/>
        </w:rPr>
        <w:t>.</w:t>
      </w:r>
    </w:p>
    <w:p w14:paraId="3A1023BE" w14:textId="3A6D6468" w:rsidR="00534D56" w:rsidRPr="00BE4791" w:rsidRDefault="00534D56" w:rsidP="00534D56">
      <w:pPr>
        <w:pStyle w:val="NormalWeb"/>
        <w:spacing w:before="0" w:beforeAutospacing="0" w:after="0" w:afterAutospacing="0" w:line="276" w:lineRule="auto"/>
        <w:rPr>
          <w:rStyle w:val="Emphasis"/>
          <w:rFonts w:asciiTheme="minorHAnsi" w:hAnsiTheme="minorHAnsi" w:cstheme="minorHAnsi"/>
          <w:b/>
          <w:bCs/>
          <w:i w:val="0"/>
          <w:iCs w:val="0"/>
          <w:color w:val="252525"/>
          <w:sz w:val="22"/>
          <w:szCs w:val="22"/>
        </w:rPr>
      </w:pPr>
      <w:r w:rsidRPr="00BE4791">
        <w:rPr>
          <w:rStyle w:val="Emphasis"/>
          <w:rFonts w:asciiTheme="minorHAnsi" w:hAnsiTheme="minorHAnsi" w:cstheme="minorHAnsi"/>
          <w:b/>
          <w:bCs/>
          <w:color w:val="252525"/>
          <w:sz w:val="22"/>
          <w:szCs w:val="22"/>
        </w:rPr>
        <w:t>Ethical approval</w:t>
      </w:r>
    </w:p>
    <w:p w14:paraId="1837F0FD" w14:textId="0F7DC87C" w:rsidR="00534D56" w:rsidRPr="00BE4791" w:rsidRDefault="00534D56" w:rsidP="00534D56">
      <w:pPr>
        <w:spacing w:after="0" w:line="276" w:lineRule="auto"/>
        <w:ind w:firstLine="720"/>
        <w:jc w:val="both"/>
        <w:rPr>
          <w:rStyle w:val="Emphasis"/>
          <w:i w:val="0"/>
          <w:iCs w:val="0"/>
        </w:rPr>
      </w:pPr>
      <w:r>
        <w:t>Not available.</w:t>
      </w:r>
    </w:p>
    <w:p w14:paraId="3524DFE5" w14:textId="77777777" w:rsidR="00534D56" w:rsidRPr="00BE4791" w:rsidRDefault="00534D56" w:rsidP="00534D56">
      <w:pPr>
        <w:pStyle w:val="NormalWeb"/>
        <w:spacing w:before="0" w:beforeAutospacing="0" w:after="0" w:afterAutospacing="0" w:line="276" w:lineRule="auto"/>
        <w:jc w:val="both"/>
        <w:rPr>
          <w:rStyle w:val="Emphasis"/>
          <w:rFonts w:asciiTheme="minorHAnsi" w:hAnsiTheme="minorHAnsi" w:cstheme="minorHAnsi"/>
          <w:b/>
          <w:bCs/>
          <w:i w:val="0"/>
          <w:iCs w:val="0"/>
          <w:color w:val="252525"/>
          <w:sz w:val="22"/>
          <w:szCs w:val="22"/>
        </w:rPr>
      </w:pPr>
      <w:r w:rsidRPr="00BE4791">
        <w:rPr>
          <w:rStyle w:val="Emphasis"/>
          <w:rFonts w:asciiTheme="minorHAnsi" w:hAnsiTheme="minorHAnsi" w:cstheme="minorHAnsi"/>
          <w:b/>
          <w:bCs/>
          <w:color w:val="252525"/>
          <w:sz w:val="22"/>
          <w:szCs w:val="22"/>
        </w:rPr>
        <w:t>Consent</w:t>
      </w:r>
    </w:p>
    <w:p w14:paraId="62AE20B1" w14:textId="7D09A1E3" w:rsidR="00534D56" w:rsidRPr="00534D56" w:rsidRDefault="00534D56" w:rsidP="00534D56">
      <w:pPr>
        <w:pStyle w:val="NormalWeb"/>
        <w:spacing w:before="0" w:beforeAutospacing="0" w:after="0" w:afterAutospacing="0" w:line="276" w:lineRule="auto"/>
        <w:jc w:val="both"/>
        <w:rPr>
          <w:rFonts w:asciiTheme="minorHAnsi" w:hAnsiTheme="minorHAnsi" w:cstheme="minorHAnsi"/>
          <w:i/>
          <w:iCs/>
          <w:color w:val="252525"/>
          <w:sz w:val="22"/>
          <w:szCs w:val="22"/>
        </w:rPr>
      </w:pPr>
      <w:r>
        <w:rPr>
          <w:rStyle w:val="Emphasis"/>
          <w:rFonts w:asciiTheme="minorHAnsi" w:hAnsiTheme="minorHAnsi" w:cstheme="minorHAnsi"/>
          <w:i w:val="0"/>
          <w:iCs w:val="0"/>
          <w:color w:val="252525"/>
          <w:sz w:val="22"/>
          <w:szCs w:val="22"/>
        </w:rPr>
        <w:tab/>
        <w:t>Not available.</w:t>
      </w:r>
    </w:p>
    <w:p w14:paraId="5FFBBA08" w14:textId="3A54F84F" w:rsidR="00534D56" w:rsidRDefault="00534D56" w:rsidP="00534D56">
      <w:pPr>
        <w:pStyle w:val="NoSpacing"/>
        <w:spacing w:line="276" w:lineRule="auto"/>
        <w:jc w:val="lowKashida"/>
        <w:rPr>
          <w:rFonts w:eastAsia="Times New Roman" w:cstheme="minorHAnsi"/>
          <w:color w:val="000000" w:themeColor="text1"/>
        </w:rPr>
      </w:pPr>
    </w:p>
    <w:p w14:paraId="5BD9B9FC" w14:textId="4AC0E066" w:rsidR="00196F70" w:rsidRDefault="00196F70" w:rsidP="00534D56">
      <w:pPr>
        <w:pStyle w:val="NoSpacing"/>
        <w:spacing w:line="276" w:lineRule="auto"/>
        <w:jc w:val="lowKashida"/>
        <w:rPr>
          <w:rFonts w:eastAsia="Times New Roman" w:cstheme="minorHAnsi"/>
          <w:color w:val="000000" w:themeColor="text1"/>
        </w:rPr>
      </w:pPr>
    </w:p>
    <w:p w14:paraId="646D7973" w14:textId="7D2B8D35" w:rsidR="00196F70" w:rsidRPr="000043DE" w:rsidRDefault="000043DE" w:rsidP="00534D56">
      <w:pPr>
        <w:pStyle w:val="NoSpacing"/>
        <w:spacing w:line="276" w:lineRule="auto"/>
        <w:jc w:val="lowKashida"/>
        <w:rPr>
          <w:rFonts w:eastAsia="Times New Roman" w:cstheme="minorHAnsi"/>
          <w:b/>
          <w:bCs/>
          <w:color w:val="000000" w:themeColor="text1"/>
          <w:sz w:val="24"/>
          <w:szCs w:val="24"/>
        </w:rPr>
      </w:pPr>
      <w:r w:rsidRPr="000043DE">
        <w:rPr>
          <w:rFonts w:eastAsia="Times New Roman" w:cstheme="minorHAnsi"/>
          <w:b/>
          <w:bCs/>
          <w:color w:val="000000" w:themeColor="text1"/>
          <w:sz w:val="24"/>
          <w:szCs w:val="24"/>
        </w:rPr>
        <w:t>References</w:t>
      </w:r>
    </w:p>
    <w:p w14:paraId="2B388561" w14:textId="77777777" w:rsidR="000043DE" w:rsidRPr="000043DE" w:rsidRDefault="000043DE" w:rsidP="00414288">
      <w:pPr>
        <w:pStyle w:val="ListParagraph"/>
        <w:numPr>
          <w:ilvl w:val="0"/>
          <w:numId w:val="15"/>
        </w:numPr>
        <w:spacing w:before="240" w:line="276" w:lineRule="auto"/>
        <w:jc w:val="both"/>
        <w:rPr>
          <w:rFonts w:cstheme="minorHAnsi"/>
          <w:i/>
          <w:iCs/>
        </w:rPr>
      </w:pPr>
      <w:r w:rsidRPr="000043DE">
        <w:rPr>
          <w:rFonts w:cstheme="minorHAnsi"/>
          <w:i/>
          <w:iCs/>
        </w:rPr>
        <w:t>Neyazi A, Padhi B, Sah R, Global Centre for Public Health Collaborators. Girls’ education and the future of healthcare in Afghanistan. bmj. 2023 Mar 13;380.</w:t>
      </w:r>
    </w:p>
    <w:p w14:paraId="32619A61" w14:textId="77777777" w:rsidR="000043DE" w:rsidRPr="000043DE" w:rsidRDefault="000043DE" w:rsidP="00414288">
      <w:pPr>
        <w:pStyle w:val="ListParagraph"/>
        <w:numPr>
          <w:ilvl w:val="0"/>
          <w:numId w:val="15"/>
        </w:numPr>
        <w:spacing w:before="240" w:line="276" w:lineRule="auto"/>
        <w:jc w:val="both"/>
        <w:rPr>
          <w:rFonts w:cstheme="minorHAnsi"/>
          <w:i/>
          <w:iCs/>
        </w:rPr>
      </w:pPr>
      <w:r w:rsidRPr="000043DE">
        <w:rPr>
          <w:rFonts w:cstheme="minorHAnsi"/>
          <w:i/>
          <w:iCs/>
        </w:rPr>
        <w:t xml:space="preserve">Mohammadi AQ, Neyazi A, Habibi D, Mehmood Q, Neyazi M, Griffiths MD. Female education ban by the Taliban: a descriptive survey study on suicidal ideation, mental health, and health-related quality </w:t>
      </w:r>
      <w:r w:rsidRPr="000043DE">
        <w:rPr>
          <w:rFonts w:cstheme="minorHAnsi"/>
          <w:i/>
          <w:iCs/>
        </w:rPr>
        <w:t>of life among girls in Afghanistan. Journal of Public Health. 2024 Sep;46(3):e439-47.</w:t>
      </w:r>
    </w:p>
    <w:p w14:paraId="656C414B" w14:textId="4562BA34" w:rsidR="000043DE" w:rsidRPr="000043DE" w:rsidRDefault="000043DE" w:rsidP="00414288">
      <w:pPr>
        <w:pStyle w:val="ListParagraph"/>
        <w:numPr>
          <w:ilvl w:val="0"/>
          <w:numId w:val="15"/>
        </w:numPr>
        <w:spacing w:before="240" w:line="276" w:lineRule="auto"/>
        <w:jc w:val="both"/>
        <w:rPr>
          <w:rFonts w:cstheme="minorHAnsi"/>
          <w:i/>
          <w:iCs/>
        </w:rPr>
      </w:pPr>
      <w:r w:rsidRPr="000043DE">
        <w:rPr>
          <w:rFonts w:cstheme="minorHAnsi"/>
          <w:i/>
          <w:iCs/>
          <w:rtl/>
        </w:rPr>
        <w:t xml:space="preserve">حکومت طالبان: حقوق همه کارمندان زن </w:t>
      </w:r>
      <w:r w:rsidRPr="000043DE">
        <w:rPr>
          <w:rFonts w:cstheme="minorHAnsi"/>
          <w:i/>
          <w:iCs/>
          <w:rtl/>
          <w:lang w:bidi="fa-IR"/>
        </w:rPr>
        <w:t>۵</w:t>
      </w:r>
      <w:r w:rsidRPr="000043DE">
        <w:rPr>
          <w:rFonts w:cstheme="minorHAnsi"/>
          <w:i/>
          <w:iCs/>
          <w:rtl/>
        </w:rPr>
        <w:t xml:space="preserve"> هزار افغانی تعیین شده است</w:t>
      </w:r>
      <w:r w:rsidRPr="000043DE">
        <w:rPr>
          <w:rFonts w:cstheme="minorHAnsi"/>
          <w:i/>
          <w:iCs/>
        </w:rPr>
        <w:t xml:space="preserve"> [Internet]. BBC; 2024 [cited 2024 Nov 27]. Available from: </w:t>
      </w:r>
      <w:hyperlink r:id="rId20" w:history="1">
        <w:r w:rsidRPr="000043DE">
          <w:rPr>
            <w:rStyle w:val="Hyperlink"/>
            <w:rFonts w:cstheme="minorHAnsi"/>
            <w:i/>
            <w:iCs/>
          </w:rPr>
          <w:t>https://www.bbc.com/persian/articles/cv22d4q7vw9o</w:t>
        </w:r>
      </w:hyperlink>
    </w:p>
    <w:p w14:paraId="0511D415" w14:textId="77777777" w:rsidR="000043DE" w:rsidRPr="000043DE" w:rsidRDefault="000043DE" w:rsidP="00414288">
      <w:pPr>
        <w:pStyle w:val="ListParagraph"/>
        <w:numPr>
          <w:ilvl w:val="0"/>
          <w:numId w:val="15"/>
        </w:numPr>
        <w:spacing w:before="240" w:line="276" w:lineRule="auto"/>
        <w:jc w:val="both"/>
        <w:rPr>
          <w:rFonts w:cstheme="minorHAnsi"/>
          <w:i/>
          <w:iCs/>
        </w:rPr>
      </w:pPr>
      <w:r w:rsidRPr="000043DE">
        <w:rPr>
          <w:rFonts w:cstheme="minorHAnsi"/>
          <w:i/>
          <w:iCs/>
        </w:rPr>
        <w:t>Hamidi AB. Restriction Policy on Afghan Girls' Education and its Consequences. Edukasiana: Jurnal Inovasi Pendidikan. 2024 Apr 4;3(2):228-43.</w:t>
      </w:r>
    </w:p>
    <w:p w14:paraId="1801EA72" w14:textId="77777777" w:rsidR="000043DE" w:rsidRPr="000043DE" w:rsidRDefault="000043DE" w:rsidP="00414288">
      <w:pPr>
        <w:pStyle w:val="ListParagraph"/>
        <w:numPr>
          <w:ilvl w:val="0"/>
          <w:numId w:val="15"/>
        </w:numPr>
        <w:spacing w:before="240" w:line="276" w:lineRule="auto"/>
        <w:jc w:val="both"/>
        <w:rPr>
          <w:rFonts w:cstheme="minorHAnsi"/>
          <w:i/>
          <w:iCs/>
          <w:cs/>
        </w:rPr>
      </w:pPr>
      <w:r w:rsidRPr="000043DE">
        <w:rPr>
          <w:rFonts w:cstheme="minorHAnsi"/>
          <w:i/>
          <w:iCs/>
          <w:rtl/>
        </w:rPr>
        <w:t>خواجه میر اسلام سعید, محمد نعیم دولتی, احمد نیازی. ممنوعیت تحصیل دختران، عامل تهدید کننده ی صحت عامه. ژورنال علوم طبی افغانستان. 2023</w:t>
      </w:r>
      <w:r w:rsidRPr="000043DE">
        <w:rPr>
          <w:rFonts w:cstheme="minorHAnsi"/>
          <w:i/>
          <w:iCs/>
        </w:rPr>
        <w:t xml:space="preserve"> Aug 9;1(1):1-2.</w:t>
      </w:r>
      <w:r w:rsidRPr="000043DE">
        <w:rPr>
          <w:rFonts w:cstheme="minorHAnsi"/>
          <w:i/>
          <w:iCs/>
          <w:cs/>
        </w:rPr>
        <w:t>‎</w:t>
      </w:r>
    </w:p>
    <w:p w14:paraId="0AD512A2" w14:textId="77777777" w:rsidR="000043DE" w:rsidRPr="000043DE" w:rsidRDefault="000043DE" w:rsidP="00534D56">
      <w:pPr>
        <w:pStyle w:val="NoSpacing"/>
        <w:spacing w:line="276" w:lineRule="auto"/>
        <w:jc w:val="lowKashida"/>
        <w:rPr>
          <w:rFonts w:eastAsia="Times New Roman" w:cstheme="minorHAnsi"/>
          <w:i/>
          <w:iCs/>
          <w:color w:val="000000" w:themeColor="text1"/>
        </w:rPr>
      </w:pPr>
    </w:p>
    <w:p w14:paraId="744EB016" w14:textId="09C640C5" w:rsidR="00CF1933" w:rsidRPr="000043DE" w:rsidRDefault="00CF1933" w:rsidP="00534D56">
      <w:pPr>
        <w:pStyle w:val="NoSpacing"/>
        <w:spacing w:line="276" w:lineRule="auto"/>
        <w:jc w:val="lowKashida"/>
        <w:rPr>
          <w:rFonts w:eastAsia="Times New Roman" w:cstheme="minorHAnsi"/>
          <w:i/>
          <w:iCs/>
          <w:color w:val="000000" w:themeColor="text1"/>
        </w:rPr>
      </w:pPr>
    </w:p>
    <w:p w14:paraId="261A46CF" w14:textId="77777777" w:rsidR="00C35878" w:rsidRPr="000043DE" w:rsidRDefault="00C35878" w:rsidP="00534D56">
      <w:pPr>
        <w:pStyle w:val="NoSpacing"/>
        <w:spacing w:line="276" w:lineRule="auto"/>
        <w:jc w:val="lowKashida"/>
        <w:rPr>
          <w:rFonts w:eastAsia="Times New Roman" w:cstheme="minorHAnsi"/>
          <w:i/>
          <w:iCs/>
          <w:color w:val="000000" w:themeColor="text1"/>
        </w:rPr>
      </w:pPr>
    </w:p>
    <w:p w14:paraId="2365BCEF" w14:textId="1BBE6C36" w:rsidR="00CF1933" w:rsidRPr="000043DE" w:rsidRDefault="00CF1933" w:rsidP="00534D56">
      <w:pPr>
        <w:pStyle w:val="NoSpacing"/>
        <w:spacing w:line="276" w:lineRule="auto"/>
        <w:jc w:val="lowKashida"/>
        <w:rPr>
          <w:rFonts w:eastAsia="Times New Roman" w:cstheme="minorHAnsi"/>
          <w:color w:val="000000" w:themeColor="text1"/>
        </w:rPr>
      </w:pPr>
    </w:p>
    <w:p w14:paraId="734A1600" w14:textId="7C3AFBA7" w:rsidR="00CF1933" w:rsidRDefault="00CF1933" w:rsidP="00534D56">
      <w:pPr>
        <w:pStyle w:val="NoSpacing"/>
        <w:spacing w:line="276" w:lineRule="auto"/>
        <w:jc w:val="lowKashida"/>
        <w:rPr>
          <w:rFonts w:eastAsia="Times New Roman" w:cstheme="minorHAnsi"/>
          <w:color w:val="000000" w:themeColor="text1"/>
        </w:rPr>
      </w:pPr>
    </w:p>
    <w:p w14:paraId="7DD52708" w14:textId="54815ACC" w:rsidR="00CF1933" w:rsidRDefault="00CF1933" w:rsidP="00534D56">
      <w:pPr>
        <w:pStyle w:val="NoSpacing"/>
        <w:spacing w:line="276" w:lineRule="auto"/>
        <w:jc w:val="lowKashida"/>
        <w:rPr>
          <w:rFonts w:eastAsia="Times New Roman" w:cstheme="minorHAnsi"/>
          <w:color w:val="000000" w:themeColor="text1"/>
        </w:rPr>
      </w:pPr>
    </w:p>
    <w:p w14:paraId="4CEF758F" w14:textId="01852DFD" w:rsidR="00CF1933" w:rsidRPr="00534D56" w:rsidRDefault="00CF1933" w:rsidP="00534D56">
      <w:pPr>
        <w:pStyle w:val="NoSpacing"/>
        <w:spacing w:line="276" w:lineRule="auto"/>
        <w:jc w:val="lowKashida"/>
        <w:rPr>
          <w:rFonts w:eastAsia="Times New Roman" w:cstheme="minorHAnsi"/>
          <w:color w:val="000000" w:themeColor="text1"/>
        </w:rPr>
      </w:pPr>
    </w:p>
    <w:sectPr w:rsidR="00CF1933" w:rsidRPr="00534D56" w:rsidSect="0048327C">
      <w:footerReference w:type="default" r:id="rId21"/>
      <w:type w:val="continuous"/>
      <w:pgSz w:w="11906" w:h="16838" w:code="9"/>
      <w:pgMar w:top="720" w:right="720" w:bottom="720" w:left="720" w:header="720" w:footer="720" w:gutter="0"/>
      <w:pgNumType w:start="5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F866" w14:textId="77777777" w:rsidR="0085797B" w:rsidRDefault="0085797B" w:rsidP="003C17D9">
      <w:pPr>
        <w:spacing w:after="0" w:line="240" w:lineRule="auto"/>
      </w:pPr>
      <w:r>
        <w:separator/>
      </w:r>
    </w:p>
  </w:endnote>
  <w:endnote w:type="continuationSeparator" w:id="0">
    <w:p w14:paraId="656FCB4B" w14:textId="77777777" w:rsidR="0085797B" w:rsidRDefault="0085797B" w:rsidP="003C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604420929"/>
      <w:docPartObj>
        <w:docPartGallery w:val="Page Numbers (Top of Page)"/>
        <w:docPartUnique/>
      </w:docPartObj>
    </w:sdtPr>
    <w:sdtEndPr/>
    <w:sdtContent>
      <w:p w14:paraId="186AED30" w14:textId="33D929F7" w:rsidR="001A2CEC" w:rsidRPr="001A2CEC" w:rsidRDefault="00FC2760" w:rsidP="00D7421F">
        <w:pPr>
          <w:pStyle w:val="Footer"/>
          <w:rPr>
            <w:color w:val="808080" w:themeColor="background1" w:themeShade="80"/>
            <w:sz w:val="18"/>
            <w:szCs w:val="18"/>
          </w:rPr>
        </w:pPr>
        <w:r>
          <w:rPr>
            <w:color w:val="808080" w:themeColor="background1" w:themeShade="80"/>
            <w:sz w:val="18"/>
            <w:szCs w:val="18"/>
          </w:rPr>
          <w:t>@2023</w:t>
        </w:r>
        <w:r w:rsidR="001A2CEC" w:rsidRPr="001A2CEC">
          <w:rPr>
            <w:color w:val="808080" w:themeColor="background1" w:themeShade="80"/>
            <w:sz w:val="18"/>
            <w:szCs w:val="18"/>
          </w:rPr>
          <w:t xml:space="preserve"> Razi International Medical Journal       </w:t>
        </w:r>
        <w:r w:rsidR="001A2CEC">
          <w:rPr>
            <w:color w:val="808080" w:themeColor="background1" w:themeShade="80"/>
            <w:sz w:val="18"/>
            <w:szCs w:val="18"/>
          </w:rPr>
          <w:t xml:space="preserve">                                               </w:t>
        </w:r>
        <w:r w:rsidR="001A2CEC" w:rsidRPr="001A2CEC">
          <w:rPr>
            <w:color w:val="808080" w:themeColor="background1" w:themeShade="80"/>
            <w:sz w:val="18"/>
            <w:szCs w:val="18"/>
          </w:rPr>
          <w:t xml:space="preserve">                                                                                                                        </w:t>
        </w:r>
        <w:r w:rsidR="00D7421F">
          <w:rPr>
            <w:b/>
            <w:bCs/>
            <w:color w:val="808080" w:themeColor="background1" w:themeShade="80"/>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1445925636"/>
      <w:docPartObj>
        <w:docPartGallery w:val="Page Numbers (Top of Page)"/>
        <w:docPartUnique/>
      </w:docPartObj>
    </w:sdtPr>
    <w:sdtEndPr/>
    <w:sdtContent>
      <w:p w14:paraId="6D674426" w14:textId="2FF7AA26" w:rsidR="001A2CEC" w:rsidRPr="001A2CEC" w:rsidRDefault="001A2CEC" w:rsidP="0048327C">
        <w:pPr>
          <w:pStyle w:val="Footer"/>
          <w:rPr>
            <w:color w:val="808080" w:themeColor="background1" w:themeShade="80"/>
            <w:sz w:val="18"/>
            <w:szCs w:val="18"/>
          </w:rPr>
        </w:pPr>
        <w:r w:rsidRPr="001A2CEC">
          <w:rPr>
            <w:color w:val="808080" w:themeColor="background1" w:themeShade="80"/>
            <w:sz w:val="18"/>
            <w:szCs w:val="18"/>
          </w:rPr>
          <w:t xml:space="preserve">Razi International Medical Journal       </w:t>
        </w:r>
        <w:r w:rsidR="0048327C">
          <w:rPr>
            <w:color w:val="808080" w:themeColor="background1" w:themeShade="80"/>
            <w:sz w:val="18"/>
            <w:szCs w:val="18"/>
          </w:rPr>
          <w:t xml:space="preserve">                   </w:t>
        </w:r>
        <w:r w:rsidR="00CA095C">
          <w:rPr>
            <w:color w:val="808080" w:themeColor="background1" w:themeShade="80"/>
            <w:sz w:val="18"/>
            <w:szCs w:val="18"/>
          </w:rPr>
          <w:t xml:space="preserve">                   </w:t>
        </w:r>
        <w:r>
          <w:rPr>
            <w:color w:val="808080" w:themeColor="background1" w:themeShade="80"/>
            <w:sz w:val="18"/>
            <w:szCs w:val="18"/>
          </w:rPr>
          <w:t xml:space="preserve">                          </w:t>
        </w:r>
        <w:r w:rsidRPr="001A2CEC">
          <w:rPr>
            <w:color w:val="808080" w:themeColor="background1" w:themeShade="80"/>
            <w:sz w:val="18"/>
            <w:szCs w:val="18"/>
          </w:rPr>
          <w:t xml:space="preserve">                                                                                                                        </w:t>
        </w:r>
        <w:r w:rsidR="000043DE">
          <w:rPr>
            <w:color w:val="808080" w:themeColor="background1" w:themeShade="80"/>
            <w:sz w:val="18"/>
            <w:szCs w:val="18"/>
          </w:rPr>
          <w:t>55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834258960"/>
      <w:docPartObj>
        <w:docPartGallery w:val="Page Numbers (Top of Page)"/>
        <w:docPartUnique/>
      </w:docPartObj>
    </w:sdtPr>
    <w:sdtEndPr/>
    <w:sdtContent>
      <w:p w14:paraId="35603AB3" w14:textId="5B2A28B9" w:rsidR="005C0321" w:rsidRPr="00CD28FE" w:rsidRDefault="005C0321" w:rsidP="00CA095C">
        <w:pPr>
          <w:pStyle w:val="Footer"/>
          <w:rPr>
            <w:noProof/>
          </w:rPr>
        </w:pPr>
        <w:r w:rsidRPr="001A2CEC">
          <w:rPr>
            <w:color w:val="808080" w:themeColor="background1" w:themeShade="80"/>
            <w:sz w:val="18"/>
            <w:szCs w:val="18"/>
          </w:rPr>
          <w:t xml:space="preserve">Razi International Medical Journal       </w:t>
        </w:r>
        <w:r>
          <w:rPr>
            <w:color w:val="808080" w:themeColor="background1" w:themeShade="80"/>
            <w:sz w:val="18"/>
            <w:szCs w:val="18"/>
          </w:rPr>
          <w:t xml:space="preserve">     </w:t>
        </w:r>
        <w:r w:rsidR="00CA095C">
          <w:rPr>
            <w:color w:val="808080" w:themeColor="background1" w:themeShade="80"/>
            <w:sz w:val="18"/>
            <w:szCs w:val="18"/>
          </w:rPr>
          <w:t xml:space="preserve">                   </w:t>
        </w:r>
        <w:r w:rsidR="0048327C">
          <w:rPr>
            <w:color w:val="808080" w:themeColor="background1" w:themeShade="80"/>
            <w:sz w:val="18"/>
            <w:szCs w:val="18"/>
          </w:rPr>
          <w:t xml:space="preserve">       </w:t>
        </w:r>
        <w:r>
          <w:rPr>
            <w:color w:val="808080" w:themeColor="background1" w:themeShade="80"/>
            <w:sz w:val="18"/>
            <w:szCs w:val="18"/>
          </w:rPr>
          <w:t xml:space="preserve">                                 </w:t>
        </w:r>
        <w:r w:rsidRPr="001A2CEC">
          <w:rPr>
            <w:color w:val="808080" w:themeColor="background1" w:themeShade="80"/>
            <w:sz w:val="18"/>
            <w:szCs w:val="18"/>
          </w:rPr>
          <w:t xml:space="preserve">                                                                                                                        </w:t>
        </w:r>
        <w:sdt>
          <w:sdtPr>
            <w:rPr>
              <w:color w:val="767171" w:themeColor="background2" w:themeShade="80"/>
              <w:sz w:val="18"/>
              <w:szCs w:val="18"/>
            </w:rPr>
            <w:id w:val="-1829817057"/>
            <w:docPartObj>
              <w:docPartGallery w:val="Page Numbers (Bottom of Page)"/>
              <w:docPartUnique/>
            </w:docPartObj>
          </w:sdtPr>
          <w:sdtEndPr>
            <w:rPr>
              <w:noProof/>
            </w:rPr>
          </w:sdtEndPr>
          <w:sdtContent>
            <w:r w:rsidR="000043DE">
              <w:rPr>
                <w:color w:val="767171" w:themeColor="background2" w:themeShade="80"/>
                <w:sz w:val="18"/>
                <w:szCs w:val="18"/>
              </w:rPr>
              <w:t>56</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E729" w14:textId="77777777" w:rsidR="0085797B" w:rsidRDefault="0085797B" w:rsidP="003C17D9">
      <w:pPr>
        <w:spacing w:after="0" w:line="240" w:lineRule="auto"/>
      </w:pPr>
      <w:r>
        <w:separator/>
      </w:r>
    </w:p>
  </w:footnote>
  <w:footnote w:type="continuationSeparator" w:id="0">
    <w:p w14:paraId="467CEFA5" w14:textId="77777777" w:rsidR="0085797B" w:rsidRDefault="0085797B" w:rsidP="003C17D9">
      <w:pPr>
        <w:spacing w:after="0" w:line="240" w:lineRule="auto"/>
      </w:pPr>
      <w:r>
        <w:continuationSeparator/>
      </w:r>
    </w:p>
  </w:footnote>
  <w:footnote w:id="1">
    <w:p w14:paraId="3E702F99" w14:textId="3CC2F686" w:rsidR="009F3E7E" w:rsidRDefault="009F3E7E" w:rsidP="009F3E7E">
      <w:pPr>
        <w:pStyle w:val="FootnoteText"/>
      </w:pPr>
      <w:r w:rsidRPr="00C16F3F">
        <w:rPr>
          <w:rFonts w:ascii="Segoe UI Symbol" w:hAnsi="Segoe UI Symbol" w:cs="Segoe UI Symbol"/>
        </w:rPr>
        <w:t>✉</w:t>
      </w:r>
      <w:r>
        <w:rPr>
          <w:rFonts w:ascii="Segoe UI Symbol" w:hAnsi="Segoe UI Symbol" w:cs="Segoe UI Symbol"/>
          <w:sz w:val="28"/>
          <w:szCs w:val="28"/>
          <w:vertAlign w:val="superscript"/>
        </w:rPr>
        <w:t xml:space="preserve"> </w:t>
      </w:r>
      <w:r>
        <w:t xml:space="preserve">Corresponding Author: </w:t>
      </w:r>
      <w:r w:rsidR="000043DE">
        <w:t>Ahmad Neyazi</w:t>
      </w:r>
    </w:p>
    <w:p w14:paraId="70DEC42A" w14:textId="51488437" w:rsidR="009F3E7E" w:rsidRPr="008E0E8E" w:rsidRDefault="009F3E7E" w:rsidP="009F3E7E">
      <w:pPr>
        <w:pStyle w:val="FootnoteText"/>
        <w:ind w:left="720" w:hanging="720"/>
      </w:pPr>
      <w:r>
        <w:t xml:space="preserve">Email address: </w:t>
      </w:r>
      <w:hyperlink r:id="rId1" w:history="1">
        <w:r w:rsidR="000043DE" w:rsidRPr="00377364">
          <w:rPr>
            <w:rStyle w:val="Hyperlink"/>
          </w:rPr>
          <w:t>neyazi.a@aces-af.org</w:t>
        </w:r>
      </w:hyperlink>
      <w:r w:rsidR="000043DE">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12E9" w14:textId="404F7735" w:rsidR="00497391" w:rsidRDefault="00497391">
    <w:pPr>
      <w:pStyle w:val="Header"/>
    </w:pPr>
    <w:r>
      <w:rPr>
        <w:noProof/>
      </w:rPr>
      <w:drawing>
        <wp:anchor distT="0" distB="0" distL="114300" distR="114300" simplePos="0" relativeHeight="251659264" behindDoc="0" locked="0" layoutInCell="1" allowOverlap="1" wp14:anchorId="15039948" wp14:editId="06CD5C9B">
          <wp:simplePos x="0" y="0"/>
          <wp:positionH relativeFrom="margin">
            <wp:posOffset>0</wp:posOffset>
          </wp:positionH>
          <wp:positionV relativeFrom="paragraph">
            <wp:posOffset>-400050</wp:posOffset>
          </wp:positionV>
          <wp:extent cx="6644640" cy="481965"/>
          <wp:effectExtent l="19050" t="19050" r="22860" b="133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Bar.png"/>
                  <pic:cNvPicPr/>
                </pic:nvPicPr>
                <pic:blipFill>
                  <a:blip r:embed="rId1">
                    <a:duotone>
                      <a:prstClr val="black"/>
                      <a:srgbClr val="2D875A">
                        <a:tint val="45000"/>
                        <a:satMod val="400000"/>
                      </a:srgbClr>
                    </a:duotone>
                    <a:extLst>
                      <a:ext uri="{BEBA8EAE-BF5A-486C-A8C5-ECC9F3942E4B}">
                        <a14:imgProps xmlns:a14="http://schemas.microsoft.com/office/drawing/2010/main">
                          <a14:imgLayer r:embed="rId2">
                            <a14:imgEffect>
                              <a14:colorTemperature colorTemp="15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644640" cy="481965"/>
                  </a:xfrm>
                  <a:prstGeom prst="rect">
                    <a:avLst/>
                  </a:prstGeom>
                  <a:solidFill>
                    <a:schemeClr val="tx2">
                      <a:lumMod val="40000"/>
                      <a:lumOff val="60000"/>
                      <a:alpha val="10000"/>
                    </a:schemeClr>
                  </a:solid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4C54" w14:textId="36404F95" w:rsidR="00AB1547" w:rsidRPr="00C81B18" w:rsidRDefault="00534D56" w:rsidP="007B033E">
    <w:pPr>
      <w:pStyle w:val="Header"/>
      <w:jc w:val="center"/>
      <w:rPr>
        <w:color w:val="808080" w:themeColor="background1" w:themeShade="80"/>
      </w:rPr>
    </w:pPr>
    <w:r>
      <w:rPr>
        <w:color w:val="808080" w:themeColor="background1" w:themeShade="80"/>
      </w:rPr>
      <w:t xml:space="preserve">Vol. </w:t>
    </w:r>
    <w:r w:rsidR="001C47FF">
      <w:rPr>
        <w:color w:val="808080" w:themeColor="background1" w:themeShade="80"/>
      </w:rPr>
      <w:t>4</w:t>
    </w:r>
    <w:r>
      <w:rPr>
        <w:color w:val="808080" w:themeColor="background1" w:themeShade="80"/>
      </w:rPr>
      <w:t xml:space="preserve"> No. </w:t>
    </w:r>
    <w:r w:rsidR="009F3E7E">
      <w:rPr>
        <w:color w:val="808080" w:themeColor="background1" w:themeShade="80"/>
      </w:rPr>
      <w:t>2</w:t>
    </w:r>
    <w:r w:rsidR="007B033E">
      <w:rPr>
        <w:color w:val="808080" w:themeColor="background1" w:themeShade="80"/>
      </w:rPr>
      <w:t xml:space="preserve"> (202</w:t>
    </w:r>
    <w:r w:rsidR="001C47FF">
      <w:rPr>
        <w:color w:val="808080" w:themeColor="background1" w:themeShade="80"/>
      </w:rPr>
      <w:t>4</w:t>
    </w:r>
    <w:r w:rsidR="00AB1547" w:rsidRPr="00C81B18">
      <w:rPr>
        <w:color w:val="808080" w:themeColor="background1" w:themeShade="80"/>
      </w:rPr>
      <w:t xml:space="preserve">): RIMJ                                     </w:t>
    </w:r>
    <w:r w:rsidR="005D587E">
      <w:rPr>
        <w:color w:val="808080" w:themeColor="background1" w:themeShade="80"/>
      </w:rPr>
      <w:t xml:space="preserve">               </w:t>
    </w:r>
    <w:r w:rsidR="00AB1547" w:rsidRPr="00C81B18">
      <w:rPr>
        <w:color w:val="808080" w:themeColor="background1" w:themeShade="80"/>
      </w:rPr>
      <w:t xml:space="preserve">                                                 </w:t>
    </w:r>
    <w:r w:rsidR="005D587E">
      <w:rPr>
        <w:color w:val="808080" w:themeColor="background1" w:themeShade="80"/>
      </w:rPr>
      <w:t xml:space="preserve">      </w:t>
    </w:r>
    <w:r w:rsidR="000043DE">
      <w:rPr>
        <w:color w:val="808080" w:themeColor="background1" w:themeShade="80"/>
      </w:rPr>
      <w:t xml:space="preserve"> </w:t>
    </w:r>
    <w:r>
      <w:rPr>
        <w:color w:val="808080" w:themeColor="background1" w:themeShade="80"/>
      </w:rPr>
      <w:t xml:space="preserve"> </w:t>
    </w:r>
    <w:r w:rsidR="000043DE">
      <w:rPr>
        <w:color w:val="808080" w:themeColor="background1" w:themeShade="80"/>
      </w:rPr>
      <w:t xml:space="preserve">      </w:t>
    </w:r>
    <w:r w:rsidR="000043DE" w:rsidRPr="000043DE">
      <w:rPr>
        <w:color w:val="808080" w:themeColor="background1" w:themeShade="80"/>
      </w:rPr>
      <w:t>Copyright (c) 2024</w:t>
    </w:r>
    <w:r w:rsidR="000043DE">
      <w:rPr>
        <w:color w:val="808080" w:themeColor="background1" w:themeShade="80"/>
      </w:rPr>
      <w:t xml:space="preserve"> </w:t>
    </w:r>
    <w:r w:rsidR="009F3E7E">
      <w:rPr>
        <w:color w:val="808080" w:themeColor="background1" w:themeShade="80"/>
      </w:rPr>
      <w:t>Neyazi</w:t>
    </w:r>
    <w:r w:rsidR="000043DE">
      <w:rPr>
        <w:color w:val="808080" w:themeColor="background1" w:themeShade="80"/>
      </w:rPr>
      <w: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694B"/>
    <w:multiLevelType w:val="hybridMultilevel"/>
    <w:tmpl w:val="45821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1265D"/>
    <w:multiLevelType w:val="hybridMultilevel"/>
    <w:tmpl w:val="24A8BC6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81B86"/>
    <w:multiLevelType w:val="hybridMultilevel"/>
    <w:tmpl w:val="229AC33E"/>
    <w:lvl w:ilvl="0" w:tplc="5C70903E">
      <w:start w:val="1"/>
      <w:numFmt w:val="bullet"/>
      <w:lvlText w:val=""/>
      <w:lvlJc w:val="left"/>
      <w:pPr>
        <w:ind w:left="360" w:hanging="360"/>
      </w:pPr>
      <w:rPr>
        <w:rFonts w:ascii="Symbol" w:hAnsi="Symbol" w:hint="default"/>
      </w:rPr>
    </w:lvl>
    <w:lvl w:ilvl="1" w:tplc="02CEE6E6" w:tentative="1">
      <w:start w:val="1"/>
      <w:numFmt w:val="bullet"/>
      <w:lvlText w:val="o"/>
      <w:lvlJc w:val="left"/>
      <w:pPr>
        <w:ind w:left="1080" w:hanging="360"/>
      </w:pPr>
      <w:rPr>
        <w:rFonts w:ascii="Courier New" w:hAnsi="Courier New" w:cs="Courier New" w:hint="default"/>
      </w:rPr>
    </w:lvl>
    <w:lvl w:ilvl="2" w:tplc="CBF071BC" w:tentative="1">
      <w:start w:val="1"/>
      <w:numFmt w:val="bullet"/>
      <w:lvlText w:val=""/>
      <w:lvlJc w:val="left"/>
      <w:pPr>
        <w:ind w:left="1800" w:hanging="360"/>
      </w:pPr>
      <w:rPr>
        <w:rFonts w:ascii="Wingdings" w:hAnsi="Wingdings" w:hint="default"/>
      </w:rPr>
    </w:lvl>
    <w:lvl w:ilvl="3" w:tplc="9D625672" w:tentative="1">
      <w:start w:val="1"/>
      <w:numFmt w:val="bullet"/>
      <w:lvlText w:val=""/>
      <w:lvlJc w:val="left"/>
      <w:pPr>
        <w:ind w:left="2520" w:hanging="360"/>
      </w:pPr>
      <w:rPr>
        <w:rFonts w:ascii="Symbol" w:hAnsi="Symbol" w:hint="default"/>
      </w:rPr>
    </w:lvl>
    <w:lvl w:ilvl="4" w:tplc="E53CC938" w:tentative="1">
      <w:start w:val="1"/>
      <w:numFmt w:val="bullet"/>
      <w:lvlText w:val="o"/>
      <w:lvlJc w:val="left"/>
      <w:pPr>
        <w:ind w:left="3240" w:hanging="360"/>
      </w:pPr>
      <w:rPr>
        <w:rFonts w:ascii="Courier New" w:hAnsi="Courier New" w:cs="Courier New" w:hint="default"/>
      </w:rPr>
    </w:lvl>
    <w:lvl w:ilvl="5" w:tplc="EFB0CCEE" w:tentative="1">
      <w:start w:val="1"/>
      <w:numFmt w:val="bullet"/>
      <w:lvlText w:val=""/>
      <w:lvlJc w:val="left"/>
      <w:pPr>
        <w:ind w:left="3960" w:hanging="360"/>
      </w:pPr>
      <w:rPr>
        <w:rFonts w:ascii="Wingdings" w:hAnsi="Wingdings" w:hint="default"/>
      </w:rPr>
    </w:lvl>
    <w:lvl w:ilvl="6" w:tplc="56267DE6" w:tentative="1">
      <w:start w:val="1"/>
      <w:numFmt w:val="bullet"/>
      <w:lvlText w:val=""/>
      <w:lvlJc w:val="left"/>
      <w:pPr>
        <w:ind w:left="4680" w:hanging="360"/>
      </w:pPr>
      <w:rPr>
        <w:rFonts w:ascii="Symbol" w:hAnsi="Symbol" w:hint="default"/>
      </w:rPr>
    </w:lvl>
    <w:lvl w:ilvl="7" w:tplc="48242242" w:tentative="1">
      <w:start w:val="1"/>
      <w:numFmt w:val="bullet"/>
      <w:lvlText w:val="o"/>
      <w:lvlJc w:val="left"/>
      <w:pPr>
        <w:ind w:left="5400" w:hanging="360"/>
      </w:pPr>
      <w:rPr>
        <w:rFonts w:ascii="Courier New" w:hAnsi="Courier New" w:cs="Courier New" w:hint="default"/>
      </w:rPr>
    </w:lvl>
    <w:lvl w:ilvl="8" w:tplc="AF1EAB78" w:tentative="1">
      <w:start w:val="1"/>
      <w:numFmt w:val="bullet"/>
      <w:lvlText w:val=""/>
      <w:lvlJc w:val="left"/>
      <w:pPr>
        <w:ind w:left="6120" w:hanging="360"/>
      </w:pPr>
      <w:rPr>
        <w:rFonts w:ascii="Wingdings" w:hAnsi="Wingdings" w:hint="default"/>
      </w:rPr>
    </w:lvl>
  </w:abstractNum>
  <w:abstractNum w:abstractNumId="3" w15:restartNumberingAfterBreak="0">
    <w:nsid w:val="3BBC566A"/>
    <w:multiLevelType w:val="hybridMultilevel"/>
    <w:tmpl w:val="DFB8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E4613"/>
    <w:multiLevelType w:val="hybridMultilevel"/>
    <w:tmpl w:val="698C90CC"/>
    <w:lvl w:ilvl="0" w:tplc="927E51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93263"/>
    <w:multiLevelType w:val="hybridMultilevel"/>
    <w:tmpl w:val="777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85CC9"/>
    <w:multiLevelType w:val="hybridMultilevel"/>
    <w:tmpl w:val="C6704F92"/>
    <w:lvl w:ilvl="0" w:tplc="3D1A78C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66417"/>
    <w:multiLevelType w:val="hybridMultilevel"/>
    <w:tmpl w:val="2F6A6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3270A1"/>
    <w:multiLevelType w:val="hybridMultilevel"/>
    <w:tmpl w:val="43660A84"/>
    <w:lvl w:ilvl="0" w:tplc="0C4C0964">
      <w:start w:val="1"/>
      <w:numFmt w:val="decimal"/>
      <w:lvlText w:val="%1."/>
      <w:lvlJc w:val="left"/>
      <w:pPr>
        <w:ind w:left="360" w:hanging="360"/>
      </w:pPr>
    </w:lvl>
    <w:lvl w:ilvl="1" w:tplc="B9AEBEC6" w:tentative="1">
      <w:start w:val="1"/>
      <w:numFmt w:val="lowerLetter"/>
      <w:lvlText w:val="%2."/>
      <w:lvlJc w:val="left"/>
      <w:pPr>
        <w:ind w:left="1080" w:hanging="360"/>
      </w:pPr>
    </w:lvl>
    <w:lvl w:ilvl="2" w:tplc="290CF7CA" w:tentative="1">
      <w:start w:val="1"/>
      <w:numFmt w:val="lowerRoman"/>
      <w:lvlText w:val="%3."/>
      <w:lvlJc w:val="right"/>
      <w:pPr>
        <w:ind w:left="1800" w:hanging="180"/>
      </w:pPr>
    </w:lvl>
    <w:lvl w:ilvl="3" w:tplc="A0ECF7F8" w:tentative="1">
      <w:start w:val="1"/>
      <w:numFmt w:val="decimal"/>
      <w:lvlText w:val="%4."/>
      <w:lvlJc w:val="left"/>
      <w:pPr>
        <w:ind w:left="2520" w:hanging="360"/>
      </w:pPr>
    </w:lvl>
    <w:lvl w:ilvl="4" w:tplc="A11ACDE4" w:tentative="1">
      <w:start w:val="1"/>
      <w:numFmt w:val="lowerLetter"/>
      <w:lvlText w:val="%5."/>
      <w:lvlJc w:val="left"/>
      <w:pPr>
        <w:ind w:left="3240" w:hanging="360"/>
      </w:pPr>
    </w:lvl>
    <w:lvl w:ilvl="5" w:tplc="25023356" w:tentative="1">
      <w:start w:val="1"/>
      <w:numFmt w:val="lowerRoman"/>
      <w:lvlText w:val="%6."/>
      <w:lvlJc w:val="right"/>
      <w:pPr>
        <w:ind w:left="3960" w:hanging="180"/>
      </w:pPr>
    </w:lvl>
    <w:lvl w:ilvl="6" w:tplc="EC9CA1E2" w:tentative="1">
      <w:start w:val="1"/>
      <w:numFmt w:val="decimal"/>
      <w:lvlText w:val="%7."/>
      <w:lvlJc w:val="left"/>
      <w:pPr>
        <w:ind w:left="4680" w:hanging="360"/>
      </w:pPr>
    </w:lvl>
    <w:lvl w:ilvl="7" w:tplc="E1224F76" w:tentative="1">
      <w:start w:val="1"/>
      <w:numFmt w:val="lowerLetter"/>
      <w:lvlText w:val="%8."/>
      <w:lvlJc w:val="left"/>
      <w:pPr>
        <w:ind w:left="5400" w:hanging="360"/>
      </w:pPr>
    </w:lvl>
    <w:lvl w:ilvl="8" w:tplc="B88ED956" w:tentative="1">
      <w:start w:val="1"/>
      <w:numFmt w:val="lowerRoman"/>
      <w:lvlText w:val="%9."/>
      <w:lvlJc w:val="right"/>
      <w:pPr>
        <w:ind w:left="6120" w:hanging="180"/>
      </w:pPr>
    </w:lvl>
  </w:abstractNum>
  <w:abstractNum w:abstractNumId="9" w15:restartNumberingAfterBreak="0">
    <w:nsid w:val="5D666D72"/>
    <w:multiLevelType w:val="hybridMultilevel"/>
    <w:tmpl w:val="174C09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E7DE0"/>
    <w:multiLevelType w:val="hybridMultilevel"/>
    <w:tmpl w:val="E4F8A7FC"/>
    <w:lvl w:ilvl="0" w:tplc="C6F06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D6D33"/>
    <w:multiLevelType w:val="hybridMultilevel"/>
    <w:tmpl w:val="FBDA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91E1A"/>
    <w:multiLevelType w:val="hybridMultilevel"/>
    <w:tmpl w:val="21D2C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086980"/>
    <w:multiLevelType w:val="hybridMultilevel"/>
    <w:tmpl w:val="39C0D744"/>
    <w:lvl w:ilvl="0" w:tplc="927E512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8E7820"/>
    <w:multiLevelType w:val="hybridMultilevel"/>
    <w:tmpl w:val="0AD4C26C"/>
    <w:lvl w:ilvl="0" w:tplc="1BE0C64A">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4"/>
  </w:num>
  <w:num w:numId="4">
    <w:abstractNumId w:val="6"/>
  </w:num>
  <w:num w:numId="5">
    <w:abstractNumId w:val="0"/>
  </w:num>
  <w:num w:numId="6">
    <w:abstractNumId w:val="11"/>
  </w:num>
  <w:num w:numId="7">
    <w:abstractNumId w:val="10"/>
  </w:num>
  <w:num w:numId="8">
    <w:abstractNumId w:val="3"/>
  </w:num>
  <w:num w:numId="9">
    <w:abstractNumId w:val="5"/>
  </w:num>
  <w:num w:numId="10">
    <w:abstractNumId w:val="4"/>
  </w:num>
  <w:num w:numId="11">
    <w:abstractNumId w:val="13"/>
  </w:num>
  <w:num w:numId="12">
    <w:abstractNumId w:val="12"/>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44"/>
    <w:rsid w:val="000043DE"/>
    <w:rsid w:val="00010931"/>
    <w:rsid w:val="00013A46"/>
    <w:rsid w:val="00016C9D"/>
    <w:rsid w:val="00022140"/>
    <w:rsid w:val="00027D7F"/>
    <w:rsid w:val="00034C88"/>
    <w:rsid w:val="00035D6F"/>
    <w:rsid w:val="00044520"/>
    <w:rsid w:val="0004606C"/>
    <w:rsid w:val="0005057C"/>
    <w:rsid w:val="000548D2"/>
    <w:rsid w:val="00060DEA"/>
    <w:rsid w:val="00063D40"/>
    <w:rsid w:val="0006550A"/>
    <w:rsid w:val="00066A12"/>
    <w:rsid w:val="00074B77"/>
    <w:rsid w:val="000827D0"/>
    <w:rsid w:val="0008383B"/>
    <w:rsid w:val="000A05FD"/>
    <w:rsid w:val="000A2024"/>
    <w:rsid w:val="000A6302"/>
    <w:rsid w:val="000A6363"/>
    <w:rsid w:val="000B249B"/>
    <w:rsid w:val="000B4302"/>
    <w:rsid w:val="000B705C"/>
    <w:rsid w:val="000C3B3D"/>
    <w:rsid w:val="000D3AA9"/>
    <w:rsid w:val="000D70EA"/>
    <w:rsid w:val="000D7FE7"/>
    <w:rsid w:val="000E7003"/>
    <w:rsid w:val="000F7757"/>
    <w:rsid w:val="001008DD"/>
    <w:rsid w:val="00103CF1"/>
    <w:rsid w:val="00104D8B"/>
    <w:rsid w:val="001118AC"/>
    <w:rsid w:val="00113A42"/>
    <w:rsid w:val="00123436"/>
    <w:rsid w:val="00124445"/>
    <w:rsid w:val="00133AEB"/>
    <w:rsid w:val="00134765"/>
    <w:rsid w:val="001373E1"/>
    <w:rsid w:val="00137ECA"/>
    <w:rsid w:val="00144741"/>
    <w:rsid w:val="001459BD"/>
    <w:rsid w:val="001477BA"/>
    <w:rsid w:val="00151308"/>
    <w:rsid w:val="00154234"/>
    <w:rsid w:val="00155D0C"/>
    <w:rsid w:val="00157AC0"/>
    <w:rsid w:val="00157E00"/>
    <w:rsid w:val="001626E7"/>
    <w:rsid w:val="00162D2A"/>
    <w:rsid w:val="0017106B"/>
    <w:rsid w:val="001712C6"/>
    <w:rsid w:val="001736EE"/>
    <w:rsid w:val="00173B6B"/>
    <w:rsid w:val="00173C22"/>
    <w:rsid w:val="00180CEC"/>
    <w:rsid w:val="00181B85"/>
    <w:rsid w:val="00182595"/>
    <w:rsid w:val="00184266"/>
    <w:rsid w:val="00184D77"/>
    <w:rsid w:val="001861F0"/>
    <w:rsid w:val="00192082"/>
    <w:rsid w:val="00196F70"/>
    <w:rsid w:val="001A2CEC"/>
    <w:rsid w:val="001A38F4"/>
    <w:rsid w:val="001A61A5"/>
    <w:rsid w:val="001B1DEF"/>
    <w:rsid w:val="001C25BA"/>
    <w:rsid w:val="001C47FF"/>
    <w:rsid w:val="001D70B0"/>
    <w:rsid w:val="001E01B4"/>
    <w:rsid w:val="001E154E"/>
    <w:rsid w:val="001E4C46"/>
    <w:rsid w:val="001F49BE"/>
    <w:rsid w:val="00200484"/>
    <w:rsid w:val="0020095A"/>
    <w:rsid w:val="00207DB1"/>
    <w:rsid w:val="00215C7F"/>
    <w:rsid w:val="00225F0A"/>
    <w:rsid w:val="00226523"/>
    <w:rsid w:val="00227C6A"/>
    <w:rsid w:val="002335A1"/>
    <w:rsid w:val="00236269"/>
    <w:rsid w:val="00237EFF"/>
    <w:rsid w:val="002503D7"/>
    <w:rsid w:val="002612A3"/>
    <w:rsid w:val="00261E5C"/>
    <w:rsid w:val="002774AE"/>
    <w:rsid w:val="00280C87"/>
    <w:rsid w:val="002831C9"/>
    <w:rsid w:val="0028715F"/>
    <w:rsid w:val="00287282"/>
    <w:rsid w:val="002874B3"/>
    <w:rsid w:val="002946E0"/>
    <w:rsid w:val="002952D3"/>
    <w:rsid w:val="002A4053"/>
    <w:rsid w:val="002A6059"/>
    <w:rsid w:val="002B470A"/>
    <w:rsid w:val="002B752C"/>
    <w:rsid w:val="002C21DD"/>
    <w:rsid w:val="002C58A4"/>
    <w:rsid w:val="002D0785"/>
    <w:rsid w:val="002D762A"/>
    <w:rsid w:val="002E1230"/>
    <w:rsid w:val="002E17CF"/>
    <w:rsid w:val="002E3FD4"/>
    <w:rsid w:val="002E5DA0"/>
    <w:rsid w:val="002F609F"/>
    <w:rsid w:val="002F7D86"/>
    <w:rsid w:val="002F7E01"/>
    <w:rsid w:val="00302F92"/>
    <w:rsid w:val="003051F5"/>
    <w:rsid w:val="003104C7"/>
    <w:rsid w:val="00312E92"/>
    <w:rsid w:val="003162A4"/>
    <w:rsid w:val="003230C0"/>
    <w:rsid w:val="003326DB"/>
    <w:rsid w:val="003333EC"/>
    <w:rsid w:val="00334EDB"/>
    <w:rsid w:val="00352BB7"/>
    <w:rsid w:val="0035708A"/>
    <w:rsid w:val="0036276A"/>
    <w:rsid w:val="00362A8A"/>
    <w:rsid w:val="0036729A"/>
    <w:rsid w:val="0037345D"/>
    <w:rsid w:val="00384BD5"/>
    <w:rsid w:val="003911C2"/>
    <w:rsid w:val="00392092"/>
    <w:rsid w:val="00393D9A"/>
    <w:rsid w:val="00394799"/>
    <w:rsid w:val="003A1218"/>
    <w:rsid w:val="003A3CC7"/>
    <w:rsid w:val="003A4B7A"/>
    <w:rsid w:val="003B3BCF"/>
    <w:rsid w:val="003B3CFA"/>
    <w:rsid w:val="003B44ED"/>
    <w:rsid w:val="003B5F0E"/>
    <w:rsid w:val="003C17D9"/>
    <w:rsid w:val="003C37FB"/>
    <w:rsid w:val="003C3BD3"/>
    <w:rsid w:val="003C3DE8"/>
    <w:rsid w:val="003C4642"/>
    <w:rsid w:val="003D0661"/>
    <w:rsid w:val="003D1B48"/>
    <w:rsid w:val="003D34F2"/>
    <w:rsid w:val="003E0178"/>
    <w:rsid w:val="003E76DA"/>
    <w:rsid w:val="003F6A10"/>
    <w:rsid w:val="0040780E"/>
    <w:rsid w:val="00411466"/>
    <w:rsid w:val="00413F42"/>
    <w:rsid w:val="00414070"/>
    <w:rsid w:val="00414288"/>
    <w:rsid w:val="00415645"/>
    <w:rsid w:val="004259A4"/>
    <w:rsid w:val="0043291B"/>
    <w:rsid w:val="0043556A"/>
    <w:rsid w:val="00435E38"/>
    <w:rsid w:val="004510B9"/>
    <w:rsid w:val="00451C48"/>
    <w:rsid w:val="004546F7"/>
    <w:rsid w:val="00455B75"/>
    <w:rsid w:val="00461683"/>
    <w:rsid w:val="0046262D"/>
    <w:rsid w:val="0046312B"/>
    <w:rsid w:val="004642E4"/>
    <w:rsid w:val="00464D4A"/>
    <w:rsid w:val="0046601C"/>
    <w:rsid w:val="004671AC"/>
    <w:rsid w:val="0047039A"/>
    <w:rsid w:val="004713B5"/>
    <w:rsid w:val="0048327C"/>
    <w:rsid w:val="004862A7"/>
    <w:rsid w:val="004878A0"/>
    <w:rsid w:val="00487E1F"/>
    <w:rsid w:val="004914EB"/>
    <w:rsid w:val="00493234"/>
    <w:rsid w:val="00497391"/>
    <w:rsid w:val="004A2494"/>
    <w:rsid w:val="004A2757"/>
    <w:rsid w:val="004A5C0C"/>
    <w:rsid w:val="004A65C7"/>
    <w:rsid w:val="004B71F1"/>
    <w:rsid w:val="004C5571"/>
    <w:rsid w:val="004D5B84"/>
    <w:rsid w:val="004E58C4"/>
    <w:rsid w:val="004F380E"/>
    <w:rsid w:val="00500994"/>
    <w:rsid w:val="00516373"/>
    <w:rsid w:val="005172C0"/>
    <w:rsid w:val="00517689"/>
    <w:rsid w:val="00517D1F"/>
    <w:rsid w:val="00520C38"/>
    <w:rsid w:val="005246A3"/>
    <w:rsid w:val="00532D2D"/>
    <w:rsid w:val="00534D56"/>
    <w:rsid w:val="00535508"/>
    <w:rsid w:val="00540DCE"/>
    <w:rsid w:val="00541B02"/>
    <w:rsid w:val="005429C8"/>
    <w:rsid w:val="00543D36"/>
    <w:rsid w:val="005532E2"/>
    <w:rsid w:val="00553FB6"/>
    <w:rsid w:val="00555F58"/>
    <w:rsid w:val="00556AF3"/>
    <w:rsid w:val="005678CF"/>
    <w:rsid w:val="00582E83"/>
    <w:rsid w:val="00585740"/>
    <w:rsid w:val="00587011"/>
    <w:rsid w:val="005A6AA0"/>
    <w:rsid w:val="005B381E"/>
    <w:rsid w:val="005B6031"/>
    <w:rsid w:val="005C0321"/>
    <w:rsid w:val="005C1294"/>
    <w:rsid w:val="005C2D06"/>
    <w:rsid w:val="005C602A"/>
    <w:rsid w:val="005D2F9A"/>
    <w:rsid w:val="005D587E"/>
    <w:rsid w:val="005E18C9"/>
    <w:rsid w:val="005F6622"/>
    <w:rsid w:val="005F6D43"/>
    <w:rsid w:val="00604183"/>
    <w:rsid w:val="00612E4F"/>
    <w:rsid w:val="006219FF"/>
    <w:rsid w:val="00627927"/>
    <w:rsid w:val="006300DF"/>
    <w:rsid w:val="00631948"/>
    <w:rsid w:val="006367B9"/>
    <w:rsid w:val="00645F87"/>
    <w:rsid w:val="006509B2"/>
    <w:rsid w:val="00660B65"/>
    <w:rsid w:val="00665430"/>
    <w:rsid w:val="00674789"/>
    <w:rsid w:val="006812E4"/>
    <w:rsid w:val="006836BE"/>
    <w:rsid w:val="0069595D"/>
    <w:rsid w:val="006959FE"/>
    <w:rsid w:val="00697784"/>
    <w:rsid w:val="006A3835"/>
    <w:rsid w:val="006A59A6"/>
    <w:rsid w:val="006A666B"/>
    <w:rsid w:val="006A75EA"/>
    <w:rsid w:val="006B1B17"/>
    <w:rsid w:val="006D0B2A"/>
    <w:rsid w:val="006D16C8"/>
    <w:rsid w:val="006D1889"/>
    <w:rsid w:val="006D46C1"/>
    <w:rsid w:val="006D6596"/>
    <w:rsid w:val="006E0B96"/>
    <w:rsid w:val="006E16BB"/>
    <w:rsid w:val="006E1B04"/>
    <w:rsid w:val="006E2B65"/>
    <w:rsid w:val="006E6EA5"/>
    <w:rsid w:val="006E70EC"/>
    <w:rsid w:val="006F3996"/>
    <w:rsid w:val="006F4473"/>
    <w:rsid w:val="00702E1D"/>
    <w:rsid w:val="00712B18"/>
    <w:rsid w:val="007141BD"/>
    <w:rsid w:val="00714E6E"/>
    <w:rsid w:val="00716637"/>
    <w:rsid w:val="0071783A"/>
    <w:rsid w:val="00717C0F"/>
    <w:rsid w:val="00720114"/>
    <w:rsid w:val="00721EFF"/>
    <w:rsid w:val="00744EB2"/>
    <w:rsid w:val="00745516"/>
    <w:rsid w:val="007460CA"/>
    <w:rsid w:val="00747C71"/>
    <w:rsid w:val="0075325D"/>
    <w:rsid w:val="00761FAA"/>
    <w:rsid w:val="007658FF"/>
    <w:rsid w:val="00766EA2"/>
    <w:rsid w:val="00772759"/>
    <w:rsid w:val="0077741E"/>
    <w:rsid w:val="00784A5E"/>
    <w:rsid w:val="007858BC"/>
    <w:rsid w:val="007861DF"/>
    <w:rsid w:val="00792907"/>
    <w:rsid w:val="00797129"/>
    <w:rsid w:val="007A1F52"/>
    <w:rsid w:val="007B033E"/>
    <w:rsid w:val="007B2943"/>
    <w:rsid w:val="007B3671"/>
    <w:rsid w:val="007C00C2"/>
    <w:rsid w:val="007D0D14"/>
    <w:rsid w:val="007D3E1C"/>
    <w:rsid w:val="007E1DE0"/>
    <w:rsid w:val="007E1F51"/>
    <w:rsid w:val="007F14C7"/>
    <w:rsid w:val="008003A9"/>
    <w:rsid w:val="008122E1"/>
    <w:rsid w:val="0081570C"/>
    <w:rsid w:val="008171FA"/>
    <w:rsid w:val="0082533D"/>
    <w:rsid w:val="008325D0"/>
    <w:rsid w:val="00836109"/>
    <w:rsid w:val="008534BE"/>
    <w:rsid w:val="008556D7"/>
    <w:rsid w:val="0085788E"/>
    <w:rsid w:val="0085797B"/>
    <w:rsid w:val="00863F11"/>
    <w:rsid w:val="00865A65"/>
    <w:rsid w:val="00866828"/>
    <w:rsid w:val="00886F85"/>
    <w:rsid w:val="0089131B"/>
    <w:rsid w:val="00892157"/>
    <w:rsid w:val="00892569"/>
    <w:rsid w:val="008949F3"/>
    <w:rsid w:val="008A735C"/>
    <w:rsid w:val="008B0154"/>
    <w:rsid w:val="008C2ED2"/>
    <w:rsid w:val="008C6E38"/>
    <w:rsid w:val="008D326C"/>
    <w:rsid w:val="008D3386"/>
    <w:rsid w:val="008D5866"/>
    <w:rsid w:val="008E0E8E"/>
    <w:rsid w:val="008E1E1F"/>
    <w:rsid w:val="008E27AA"/>
    <w:rsid w:val="008E2D9E"/>
    <w:rsid w:val="008F0C1C"/>
    <w:rsid w:val="008F2DBB"/>
    <w:rsid w:val="008F7ECF"/>
    <w:rsid w:val="009029A3"/>
    <w:rsid w:val="00910850"/>
    <w:rsid w:val="009127E3"/>
    <w:rsid w:val="00912ABA"/>
    <w:rsid w:val="00914728"/>
    <w:rsid w:val="00917EB5"/>
    <w:rsid w:val="00921ED6"/>
    <w:rsid w:val="00933C96"/>
    <w:rsid w:val="00935B70"/>
    <w:rsid w:val="0094284F"/>
    <w:rsid w:val="0095008B"/>
    <w:rsid w:val="0096408A"/>
    <w:rsid w:val="0096524C"/>
    <w:rsid w:val="00966409"/>
    <w:rsid w:val="0096688E"/>
    <w:rsid w:val="0097434B"/>
    <w:rsid w:val="00983A2B"/>
    <w:rsid w:val="00984400"/>
    <w:rsid w:val="00987055"/>
    <w:rsid w:val="0099777C"/>
    <w:rsid w:val="009B2471"/>
    <w:rsid w:val="009B2521"/>
    <w:rsid w:val="009C6BA5"/>
    <w:rsid w:val="009D0159"/>
    <w:rsid w:val="009D77A5"/>
    <w:rsid w:val="009E4EC5"/>
    <w:rsid w:val="009E65A5"/>
    <w:rsid w:val="009F3E7E"/>
    <w:rsid w:val="009F417C"/>
    <w:rsid w:val="009F4570"/>
    <w:rsid w:val="009F6FAE"/>
    <w:rsid w:val="00A11BEA"/>
    <w:rsid w:val="00A1397D"/>
    <w:rsid w:val="00A15FF7"/>
    <w:rsid w:val="00A16019"/>
    <w:rsid w:val="00A169A6"/>
    <w:rsid w:val="00A24E31"/>
    <w:rsid w:val="00A25EEC"/>
    <w:rsid w:val="00A26060"/>
    <w:rsid w:val="00A32D9A"/>
    <w:rsid w:val="00A371E0"/>
    <w:rsid w:val="00A442DD"/>
    <w:rsid w:val="00A449D1"/>
    <w:rsid w:val="00A47A24"/>
    <w:rsid w:val="00A5155B"/>
    <w:rsid w:val="00A5194F"/>
    <w:rsid w:val="00A5443F"/>
    <w:rsid w:val="00A575B5"/>
    <w:rsid w:val="00A63E20"/>
    <w:rsid w:val="00A66B9F"/>
    <w:rsid w:val="00A714A7"/>
    <w:rsid w:val="00A72076"/>
    <w:rsid w:val="00A731DE"/>
    <w:rsid w:val="00A7381C"/>
    <w:rsid w:val="00A75BA5"/>
    <w:rsid w:val="00A777F6"/>
    <w:rsid w:val="00A8318F"/>
    <w:rsid w:val="00A83757"/>
    <w:rsid w:val="00A92ECE"/>
    <w:rsid w:val="00A93360"/>
    <w:rsid w:val="00A95191"/>
    <w:rsid w:val="00A966B5"/>
    <w:rsid w:val="00AA2936"/>
    <w:rsid w:val="00AA3829"/>
    <w:rsid w:val="00AA3DA9"/>
    <w:rsid w:val="00AB1547"/>
    <w:rsid w:val="00AB3289"/>
    <w:rsid w:val="00AB4016"/>
    <w:rsid w:val="00AB6DB5"/>
    <w:rsid w:val="00AC213F"/>
    <w:rsid w:val="00AC2935"/>
    <w:rsid w:val="00AD3C64"/>
    <w:rsid w:val="00AD522D"/>
    <w:rsid w:val="00AE4DA1"/>
    <w:rsid w:val="00AE536B"/>
    <w:rsid w:val="00AE7619"/>
    <w:rsid w:val="00AF32B9"/>
    <w:rsid w:val="00AF6A9D"/>
    <w:rsid w:val="00AF758C"/>
    <w:rsid w:val="00B002AA"/>
    <w:rsid w:val="00B03763"/>
    <w:rsid w:val="00B24449"/>
    <w:rsid w:val="00B24FBA"/>
    <w:rsid w:val="00B33BF3"/>
    <w:rsid w:val="00B33E2C"/>
    <w:rsid w:val="00B35DFA"/>
    <w:rsid w:val="00B407EE"/>
    <w:rsid w:val="00B42421"/>
    <w:rsid w:val="00B456C2"/>
    <w:rsid w:val="00B56AB0"/>
    <w:rsid w:val="00B57CD0"/>
    <w:rsid w:val="00B57D27"/>
    <w:rsid w:val="00B60727"/>
    <w:rsid w:val="00B63DA4"/>
    <w:rsid w:val="00B64818"/>
    <w:rsid w:val="00B66C38"/>
    <w:rsid w:val="00B67DC0"/>
    <w:rsid w:val="00B71D92"/>
    <w:rsid w:val="00B82C2D"/>
    <w:rsid w:val="00B907D7"/>
    <w:rsid w:val="00BA02BC"/>
    <w:rsid w:val="00BA30FD"/>
    <w:rsid w:val="00BA3B23"/>
    <w:rsid w:val="00BA5F1B"/>
    <w:rsid w:val="00BC0583"/>
    <w:rsid w:val="00BC0840"/>
    <w:rsid w:val="00BC4503"/>
    <w:rsid w:val="00BC68BA"/>
    <w:rsid w:val="00BD097E"/>
    <w:rsid w:val="00BD0C57"/>
    <w:rsid w:val="00BD5FAA"/>
    <w:rsid w:val="00BE32BE"/>
    <w:rsid w:val="00BF3F9B"/>
    <w:rsid w:val="00C009C6"/>
    <w:rsid w:val="00C03DD2"/>
    <w:rsid w:val="00C0511B"/>
    <w:rsid w:val="00C07157"/>
    <w:rsid w:val="00C0789F"/>
    <w:rsid w:val="00C10D5A"/>
    <w:rsid w:val="00C1529A"/>
    <w:rsid w:val="00C16F3F"/>
    <w:rsid w:val="00C23911"/>
    <w:rsid w:val="00C24DC7"/>
    <w:rsid w:val="00C320F2"/>
    <w:rsid w:val="00C34037"/>
    <w:rsid w:val="00C35878"/>
    <w:rsid w:val="00C36760"/>
    <w:rsid w:val="00C36BFB"/>
    <w:rsid w:val="00C410C3"/>
    <w:rsid w:val="00C41421"/>
    <w:rsid w:val="00C42C5D"/>
    <w:rsid w:val="00C44C75"/>
    <w:rsid w:val="00C506A9"/>
    <w:rsid w:val="00C66139"/>
    <w:rsid w:val="00C7057A"/>
    <w:rsid w:val="00C72F22"/>
    <w:rsid w:val="00C73EC5"/>
    <w:rsid w:val="00C74EC0"/>
    <w:rsid w:val="00C81B18"/>
    <w:rsid w:val="00C81C4A"/>
    <w:rsid w:val="00C81E9E"/>
    <w:rsid w:val="00C91A2F"/>
    <w:rsid w:val="00C9315C"/>
    <w:rsid w:val="00C94DE8"/>
    <w:rsid w:val="00C9510D"/>
    <w:rsid w:val="00C95ABC"/>
    <w:rsid w:val="00C975F8"/>
    <w:rsid w:val="00CA095C"/>
    <w:rsid w:val="00CA11FB"/>
    <w:rsid w:val="00CA3022"/>
    <w:rsid w:val="00CA363B"/>
    <w:rsid w:val="00CA5FF3"/>
    <w:rsid w:val="00CA6A36"/>
    <w:rsid w:val="00CB1F0C"/>
    <w:rsid w:val="00CC2B3A"/>
    <w:rsid w:val="00CD0018"/>
    <w:rsid w:val="00CD032D"/>
    <w:rsid w:val="00CD1EC6"/>
    <w:rsid w:val="00CD28FE"/>
    <w:rsid w:val="00CD47CE"/>
    <w:rsid w:val="00CE181A"/>
    <w:rsid w:val="00CE7248"/>
    <w:rsid w:val="00CF1326"/>
    <w:rsid w:val="00CF1766"/>
    <w:rsid w:val="00CF1933"/>
    <w:rsid w:val="00CF47A8"/>
    <w:rsid w:val="00CF525D"/>
    <w:rsid w:val="00CF5F17"/>
    <w:rsid w:val="00CF6132"/>
    <w:rsid w:val="00D02132"/>
    <w:rsid w:val="00D04636"/>
    <w:rsid w:val="00D0659C"/>
    <w:rsid w:val="00D06DD6"/>
    <w:rsid w:val="00D07738"/>
    <w:rsid w:val="00D279F0"/>
    <w:rsid w:val="00D3462C"/>
    <w:rsid w:val="00D37DA1"/>
    <w:rsid w:val="00D416A2"/>
    <w:rsid w:val="00D50BE4"/>
    <w:rsid w:val="00D52705"/>
    <w:rsid w:val="00D54FA9"/>
    <w:rsid w:val="00D61EF4"/>
    <w:rsid w:val="00D73D5C"/>
    <w:rsid w:val="00D73EF7"/>
    <w:rsid w:val="00D7421F"/>
    <w:rsid w:val="00D82718"/>
    <w:rsid w:val="00D86B8A"/>
    <w:rsid w:val="00D873DD"/>
    <w:rsid w:val="00D928D5"/>
    <w:rsid w:val="00D93329"/>
    <w:rsid w:val="00D96751"/>
    <w:rsid w:val="00DA0A09"/>
    <w:rsid w:val="00DA3561"/>
    <w:rsid w:val="00DB3074"/>
    <w:rsid w:val="00DB7782"/>
    <w:rsid w:val="00DD0CCF"/>
    <w:rsid w:val="00DD158F"/>
    <w:rsid w:val="00DD413C"/>
    <w:rsid w:val="00DD4D22"/>
    <w:rsid w:val="00DE0840"/>
    <w:rsid w:val="00DE1E37"/>
    <w:rsid w:val="00DE51E9"/>
    <w:rsid w:val="00DF112E"/>
    <w:rsid w:val="00DF4195"/>
    <w:rsid w:val="00DF499F"/>
    <w:rsid w:val="00E0271F"/>
    <w:rsid w:val="00E0391E"/>
    <w:rsid w:val="00E13639"/>
    <w:rsid w:val="00E21058"/>
    <w:rsid w:val="00E21E78"/>
    <w:rsid w:val="00E25730"/>
    <w:rsid w:val="00E337C0"/>
    <w:rsid w:val="00E35D03"/>
    <w:rsid w:val="00E44B16"/>
    <w:rsid w:val="00E44C6A"/>
    <w:rsid w:val="00E533EF"/>
    <w:rsid w:val="00E5487B"/>
    <w:rsid w:val="00E55223"/>
    <w:rsid w:val="00E567BD"/>
    <w:rsid w:val="00E60ABA"/>
    <w:rsid w:val="00E644DF"/>
    <w:rsid w:val="00E6603D"/>
    <w:rsid w:val="00E662FB"/>
    <w:rsid w:val="00E67B0A"/>
    <w:rsid w:val="00E70E96"/>
    <w:rsid w:val="00E77078"/>
    <w:rsid w:val="00E92274"/>
    <w:rsid w:val="00E9445C"/>
    <w:rsid w:val="00E9540C"/>
    <w:rsid w:val="00E95B36"/>
    <w:rsid w:val="00EA324C"/>
    <w:rsid w:val="00EA5515"/>
    <w:rsid w:val="00EB039D"/>
    <w:rsid w:val="00EB2F09"/>
    <w:rsid w:val="00EB66B1"/>
    <w:rsid w:val="00EB778A"/>
    <w:rsid w:val="00EC0190"/>
    <w:rsid w:val="00EC2FA0"/>
    <w:rsid w:val="00ED0003"/>
    <w:rsid w:val="00ED4FCD"/>
    <w:rsid w:val="00EE63B1"/>
    <w:rsid w:val="00EF0DC9"/>
    <w:rsid w:val="00EF1DB5"/>
    <w:rsid w:val="00EF297D"/>
    <w:rsid w:val="00EF645A"/>
    <w:rsid w:val="00EF761F"/>
    <w:rsid w:val="00EF762D"/>
    <w:rsid w:val="00F00F5F"/>
    <w:rsid w:val="00F05FE5"/>
    <w:rsid w:val="00F1653B"/>
    <w:rsid w:val="00F21451"/>
    <w:rsid w:val="00F21BB4"/>
    <w:rsid w:val="00F22425"/>
    <w:rsid w:val="00F26F8B"/>
    <w:rsid w:val="00F30BDB"/>
    <w:rsid w:val="00F327AD"/>
    <w:rsid w:val="00F34F7B"/>
    <w:rsid w:val="00F37FDC"/>
    <w:rsid w:val="00F40CEB"/>
    <w:rsid w:val="00F5082F"/>
    <w:rsid w:val="00F61400"/>
    <w:rsid w:val="00F61C11"/>
    <w:rsid w:val="00F654FC"/>
    <w:rsid w:val="00F67943"/>
    <w:rsid w:val="00F679C9"/>
    <w:rsid w:val="00F707DB"/>
    <w:rsid w:val="00F70B4D"/>
    <w:rsid w:val="00F7196E"/>
    <w:rsid w:val="00F75B8C"/>
    <w:rsid w:val="00F76D26"/>
    <w:rsid w:val="00F76EC5"/>
    <w:rsid w:val="00F80DC9"/>
    <w:rsid w:val="00F81BF4"/>
    <w:rsid w:val="00F83C3A"/>
    <w:rsid w:val="00F86AFE"/>
    <w:rsid w:val="00F95C7C"/>
    <w:rsid w:val="00F96F24"/>
    <w:rsid w:val="00FA1B44"/>
    <w:rsid w:val="00FA1B55"/>
    <w:rsid w:val="00FA4A3E"/>
    <w:rsid w:val="00FB4F9C"/>
    <w:rsid w:val="00FB6493"/>
    <w:rsid w:val="00FB71B0"/>
    <w:rsid w:val="00FC2760"/>
    <w:rsid w:val="00FC37CA"/>
    <w:rsid w:val="00FC3E73"/>
    <w:rsid w:val="00FD134A"/>
    <w:rsid w:val="00FD2C4E"/>
    <w:rsid w:val="00FD2D3F"/>
    <w:rsid w:val="00FD3BDF"/>
    <w:rsid w:val="00FD5746"/>
    <w:rsid w:val="00FD6B25"/>
    <w:rsid w:val="00FE045B"/>
    <w:rsid w:val="00FE22F5"/>
    <w:rsid w:val="00FE2A86"/>
    <w:rsid w:val="00FE4413"/>
    <w:rsid w:val="00FE7A4E"/>
    <w:rsid w:val="00FF0244"/>
    <w:rsid w:val="00FF4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10DF7"/>
  <w15:chartTrackingRefBased/>
  <w15:docId w15:val="{85440992-A24E-411C-BE0B-DF649ACF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D3AA9"/>
    <w:pPr>
      <w:spacing w:after="0" w:line="240" w:lineRule="auto"/>
    </w:pPr>
    <w:rPr>
      <w:sz w:val="20"/>
      <w:szCs w:val="20"/>
    </w:rPr>
  </w:style>
  <w:style w:type="character" w:customStyle="1" w:styleId="FootnoteTextChar">
    <w:name w:val="Footnote Text Char"/>
    <w:basedOn w:val="DefaultParagraphFont"/>
    <w:link w:val="FootnoteText"/>
    <w:uiPriority w:val="99"/>
    <w:rsid w:val="000D3AA9"/>
    <w:rPr>
      <w:sz w:val="20"/>
      <w:szCs w:val="20"/>
    </w:rPr>
  </w:style>
  <w:style w:type="character" w:styleId="FootnoteReference">
    <w:name w:val="footnote reference"/>
    <w:basedOn w:val="DefaultParagraphFont"/>
    <w:uiPriority w:val="99"/>
    <w:semiHidden/>
    <w:unhideWhenUsed/>
    <w:rsid w:val="000D3AA9"/>
    <w:rPr>
      <w:vertAlign w:val="superscript"/>
    </w:rPr>
  </w:style>
  <w:style w:type="character" w:styleId="Hyperlink">
    <w:name w:val="Hyperlink"/>
    <w:basedOn w:val="DefaultParagraphFont"/>
    <w:uiPriority w:val="99"/>
    <w:unhideWhenUsed/>
    <w:rsid w:val="000D3AA9"/>
    <w:rPr>
      <w:color w:val="0563C1" w:themeColor="hyperlink"/>
      <w:u w:val="single"/>
    </w:rPr>
  </w:style>
  <w:style w:type="paragraph" w:styleId="ListParagraph">
    <w:name w:val="List Paragraph"/>
    <w:basedOn w:val="Normal"/>
    <w:uiPriority w:val="34"/>
    <w:qFormat/>
    <w:rsid w:val="000D3AA9"/>
    <w:pPr>
      <w:ind w:left="720"/>
      <w:contextualSpacing/>
    </w:pPr>
  </w:style>
  <w:style w:type="table" w:styleId="TableGrid">
    <w:name w:val="Table Grid"/>
    <w:basedOn w:val="TableNormal"/>
    <w:uiPriority w:val="39"/>
    <w:rsid w:val="00815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157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8157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C1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7D9"/>
  </w:style>
  <w:style w:type="paragraph" w:styleId="Footer">
    <w:name w:val="footer"/>
    <w:basedOn w:val="Normal"/>
    <w:link w:val="FooterChar"/>
    <w:uiPriority w:val="99"/>
    <w:unhideWhenUsed/>
    <w:rsid w:val="003C1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7D9"/>
  </w:style>
  <w:style w:type="character" w:styleId="FollowedHyperlink">
    <w:name w:val="FollowedHyperlink"/>
    <w:basedOn w:val="DefaultParagraphFont"/>
    <w:uiPriority w:val="99"/>
    <w:semiHidden/>
    <w:unhideWhenUsed/>
    <w:rsid w:val="00157AC0"/>
    <w:rPr>
      <w:color w:val="954F72" w:themeColor="followedHyperlink"/>
      <w:u w:val="single"/>
    </w:rPr>
  </w:style>
  <w:style w:type="paragraph" w:styleId="BalloonText">
    <w:name w:val="Balloon Text"/>
    <w:basedOn w:val="Normal"/>
    <w:link w:val="BalloonTextChar"/>
    <w:uiPriority w:val="99"/>
    <w:semiHidden/>
    <w:unhideWhenUsed/>
    <w:rsid w:val="00674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9"/>
    <w:rPr>
      <w:rFonts w:ascii="Segoe UI" w:hAnsi="Segoe UI" w:cs="Segoe UI"/>
      <w:sz w:val="18"/>
      <w:szCs w:val="18"/>
    </w:rPr>
  </w:style>
  <w:style w:type="character" w:customStyle="1" w:styleId="pkpscreenreader">
    <w:name w:val="pkp_screen_reader"/>
    <w:basedOn w:val="DefaultParagraphFont"/>
    <w:rsid w:val="00E77078"/>
  </w:style>
  <w:style w:type="character" w:customStyle="1" w:styleId="label">
    <w:name w:val="label"/>
    <w:basedOn w:val="DefaultParagraphFont"/>
    <w:rsid w:val="00E77078"/>
  </w:style>
  <w:style w:type="paragraph" w:styleId="NormalWeb">
    <w:name w:val="Normal (Web)"/>
    <w:basedOn w:val="Normal"/>
    <w:uiPriority w:val="99"/>
    <w:unhideWhenUsed/>
    <w:rsid w:val="00CD4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7CE"/>
    <w:rPr>
      <w:b/>
      <w:bCs/>
    </w:rPr>
  </w:style>
  <w:style w:type="paragraph" w:styleId="EndnoteText">
    <w:name w:val="endnote text"/>
    <w:basedOn w:val="Normal"/>
    <w:link w:val="EndnoteTextChar"/>
    <w:uiPriority w:val="99"/>
    <w:semiHidden/>
    <w:unhideWhenUsed/>
    <w:rsid w:val="00F707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07DB"/>
    <w:rPr>
      <w:sz w:val="20"/>
      <w:szCs w:val="20"/>
    </w:rPr>
  </w:style>
  <w:style w:type="character" w:styleId="EndnoteReference">
    <w:name w:val="endnote reference"/>
    <w:basedOn w:val="DefaultParagraphFont"/>
    <w:uiPriority w:val="99"/>
    <w:semiHidden/>
    <w:unhideWhenUsed/>
    <w:rsid w:val="00F707DB"/>
    <w:rPr>
      <w:vertAlign w:val="superscript"/>
    </w:rPr>
  </w:style>
  <w:style w:type="character" w:styleId="CommentReference">
    <w:name w:val="annotation reference"/>
    <w:basedOn w:val="DefaultParagraphFont"/>
    <w:uiPriority w:val="99"/>
    <w:semiHidden/>
    <w:unhideWhenUsed/>
    <w:rsid w:val="00D3462C"/>
    <w:rPr>
      <w:sz w:val="16"/>
      <w:szCs w:val="16"/>
    </w:rPr>
  </w:style>
  <w:style w:type="paragraph" w:styleId="NoSpacing">
    <w:name w:val="No Spacing"/>
    <w:uiPriority w:val="1"/>
    <w:qFormat/>
    <w:rsid w:val="009127E3"/>
    <w:pPr>
      <w:spacing w:after="0" w:line="240" w:lineRule="auto"/>
    </w:pPr>
    <w:rPr>
      <w:rFonts w:eastAsiaTheme="minorEastAsia"/>
      <w:lang w:val="en-GB"/>
    </w:rPr>
  </w:style>
  <w:style w:type="character" w:styleId="Emphasis">
    <w:name w:val="Emphasis"/>
    <w:basedOn w:val="DefaultParagraphFont"/>
    <w:uiPriority w:val="20"/>
    <w:qFormat/>
    <w:rsid w:val="00534D56"/>
    <w:rPr>
      <w:i/>
      <w:iCs/>
    </w:rPr>
  </w:style>
  <w:style w:type="character" w:styleId="UnresolvedMention">
    <w:name w:val="Unresolved Mention"/>
    <w:basedOn w:val="DefaultParagraphFont"/>
    <w:uiPriority w:val="99"/>
    <w:semiHidden/>
    <w:unhideWhenUsed/>
    <w:rsid w:val="00310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5600">
      <w:bodyDiv w:val="1"/>
      <w:marLeft w:val="0"/>
      <w:marRight w:val="0"/>
      <w:marTop w:val="0"/>
      <w:marBottom w:val="0"/>
      <w:divBdr>
        <w:top w:val="none" w:sz="0" w:space="0" w:color="auto"/>
        <w:left w:val="none" w:sz="0" w:space="0" w:color="auto"/>
        <w:bottom w:val="none" w:sz="0" w:space="0" w:color="auto"/>
        <w:right w:val="none" w:sz="0" w:space="0" w:color="auto"/>
      </w:divBdr>
    </w:div>
    <w:div w:id="575433100">
      <w:bodyDiv w:val="1"/>
      <w:marLeft w:val="0"/>
      <w:marRight w:val="0"/>
      <w:marTop w:val="0"/>
      <w:marBottom w:val="0"/>
      <w:divBdr>
        <w:top w:val="none" w:sz="0" w:space="0" w:color="auto"/>
        <w:left w:val="none" w:sz="0" w:space="0" w:color="auto"/>
        <w:bottom w:val="none" w:sz="0" w:space="0" w:color="auto"/>
        <w:right w:val="none" w:sz="0" w:space="0" w:color="auto"/>
      </w:divBdr>
    </w:div>
    <w:div w:id="736780050">
      <w:bodyDiv w:val="1"/>
      <w:marLeft w:val="0"/>
      <w:marRight w:val="0"/>
      <w:marTop w:val="0"/>
      <w:marBottom w:val="0"/>
      <w:divBdr>
        <w:top w:val="none" w:sz="0" w:space="0" w:color="auto"/>
        <w:left w:val="none" w:sz="0" w:space="0" w:color="auto"/>
        <w:bottom w:val="none" w:sz="0" w:space="0" w:color="auto"/>
        <w:right w:val="none" w:sz="0" w:space="0" w:color="auto"/>
      </w:divBdr>
      <w:divsChild>
        <w:div w:id="544755560">
          <w:marLeft w:val="96"/>
          <w:marRight w:val="96"/>
          <w:marTop w:val="0"/>
          <w:marBottom w:val="0"/>
          <w:divBdr>
            <w:top w:val="none" w:sz="0" w:space="0" w:color="auto"/>
            <w:left w:val="none" w:sz="0" w:space="0" w:color="auto"/>
            <w:bottom w:val="none" w:sz="0" w:space="0" w:color="auto"/>
            <w:right w:val="none" w:sz="0" w:space="0" w:color="auto"/>
          </w:divBdr>
          <w:divsChild>
            <w:div w:id="556355504">
              <w:marLeft w:val="0"/>
              <w:marRight w:val="0"/>
              <w:marTop w:val="0"/>
              <w:marBottom w:val="0"/>
              <w:divBdr>
                <w:top w:val="none" w:sz="0" w:space="0" w:color="auto"/>
                <w:left w:val="none" w:sz="0" w:space="0" w:color="auto"/>
                <w:bottom w:val="none" w:sz="0" w:space="0" w:color="auto"/>
                <w:right w:val="none" w:sz="0" w:space="0" w:color="auto"/>
              </w:divBdr>
              <w:divsChild>
                <w:div w:id="1123042059">
                  <w:marLeft w:val="0"/>
                  <w:marRight w:val="0"/>
                  <w:marTop w:val="0"/>
                  <w:marBottom w:val="0"/>
                  <w:divBdr>
                    <w:top w:val="none" w:sz="0" w:space="0" w:color="auto"/>
                    <w:left w:val="none" w:sz="0" w:space="0" w:color="auto"/>
                    <w:bottom w:val="none" w:sz="0" w:space="0" w:color="auto"/>
                    <w:right w:val="none" w:sz="0" w:space="0" w:color="auto"/>
                  </w:divBdr>
                  <w:divsChild>
                    <w:div w:id="1381662364">
                      <w:marLeft w:val="0"/>
                      <w:marRight w:val="0"/>
                      <w:marTop w:val="0"/>
                      <w:marBottom w:val="0"/>
                      <w:divBdr>
                        <w:top w:val="none" w:sz="0" w:space="0" w:color="auto"/>
                        <w:left w:val="none" w:sz="0" w:space="0" w:color="auto"/>
                        <w:bottom w:val="none" w:sz="0" w:space="0" w:color="auto"/>
                        <w:right w:val="none" w:sz="0" w:space="0" w:color="auto"/>
                      </w:divBdr>
                      <w:divsChild>
                        <w:div w:id="323246232">
                          <w:marLeft w:val="0"/>
                          <w:marRight w:val="0"/>
                          <w:marTop w:val="0"/>
                          <w:marBottom w:val="0"/>
                          <w:divBdr>
                            <w:top w:val="none" w:sz="0" w:space="0" w:color="auto"/>
                            <w:left w:val="none" w:sz="0" w:space="0" w:color="auto"/>
                            <w:bottom w:val="none" w:sz="0" w:space="0" w:color="auto"/>
                            <w:right w:val="none" w:sz="0" w:space="0" w:color="auto"/>
                          </w:divBdr>
                          <w:divsChild>
                            <w:div w:id="1748650486">
                              <w:marLeft w:val="0"/>
                              <w:marRight w:val="0"/>
                              <w:marTop w:val="0"/>
                              <w:marBottom w:val="0"/>
                              <w:divBdr>
                                <w:top w:val="none" w:sz="0" w:space="0" w:color="auto"/>
                                <w:left w:val="none" w:sz="0" w:space="0" w:color="auto"/>
                                <w:bottom w:val="none" w:sz="0" w:space="0" w:color="auto"/>
                                <w:right w:val="none" w:sz="0" w:space="0" w:color="auto"/>
                              </w:divBdr>
                              <w:divsChild>
                                <w:div w:id="633753058">
                                  <w:marLeft w:val="0"/>
                                  <w:marRight w:val="0"/>
                                  <w:marTop w:val="0"/>
                                  <w:marBottom w:val="0"/>
                                  <w:divBdr>
                                    <w:top w:val="none" w:sz="0" w:space="0" w:color="auto"/>
                                    <w:left w:val="none" w:sz="0" w:space="0" w:color="auto"/>
                                    <w:bottom w:val="none" w:sz="0" w:space="0" w:color="auto"/>
                                    <w:right w:val="none" w:sz="0" w:space="0" w:color="auto"/>
                                  </w:divBdr>
                                  <w:divsChild>
                                    <w:div w:id="773016309">
                                      <w:marLeft w:val="0"/>
                                      <w:marRight w:val="0"/>
                                      <w:marTop w:val="0"/>
                                      <w:marBottom w:val="0"/>
                                      <w:divBdr>
                                        <w:top w:val="none" w:sz="0" w:space="0" w:color="auto"/>
                                        <w:left w:val="none" w:sz="0" w:space="0" w:color="auto"/>
                                        <w:bottom w:val="none" w:sz="0" w:space="0" w:color="auto"/>
                                        <w:right w:val="none" w:sz="0" w:space="0" w:color="auto"/>
                                      </w:divBdr>
                                      <w:divsChild>
                                        <w:div w:id="92017423">
                                          <w:marLeft w:val="0"/>
                                          <w:marRight w:val="0"/>
                                          <w:marTop w:val="0"/>
                                          <w:marBottom w:val="0"/>
                                          <w:divBdr>
                                            <w:top w:val="none" w:sz="0" w:space="0" w:color="auto"/>
                                            <w:left w:val="none" w:sz="0" w:space="0" w:color="auto"/>
                                            <w:bottom w:val="none" w:sz="0" w:space="0" w:color="auto"/>
                                            <w:right w:val="none" w:sz="0" w:space="0" w:color="auto"/>
                                          </w:divBdr>
                                          <w:divsChild>
                                            <w:div w:id="1442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103886">
      <w:bodyDiv w:val="1"/>
      <w:marLeft w:val="0"/>
      <w:marRight w:val="0"/>
      <w:marTop w:val="0"/>
      <w:marBottom w:val="0"/>
      <w:divBdr>
        <w:top w:val="none" w:sz="0" w:space="0" w:color="auto"/>
        <w:left w:val="none" w:sz="0" w:space="0" w:color="auto"/>
        <w:bottom w:val="none" w:sz="0" w:space="0" w:color="auto"/>
        <w:right w:val="none" w:sz="0" w:space="0" w:color="auto"/>
      </w:divBdr>
    </w:div>
    <w:div w:id="171962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j.org/2789-4711/?id=4.2.170" TargetMode="External"/><Relationship Id="rId13" Type="http://schemas.openxmlformats.org/officeDocument/2006/relationships/footer" Target="footer1.xml"/><Relationship Id="rId18" Type="http://schemas.openxmlformats.org/officeDocument/2006/relationships/hyperlink" Target="https://doi.org/10.56101/rimj.v4i2.170"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yperlink" Target="https://www.bbc.com/persian/articles/cv22d4q7vw9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56101/rimj.v4i2.17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eyazi.a@aces-af.org"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2BA17-6DA6-49AE-A334-6BD4F03B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Analysis of the output of "Razi International Medical Journal" during 2021-2023 and future directions</vt:lpstr>
    </vt:vector>
  </TitlesOfParts>
  <Company>Afghanistan Center for Epidemiological Studies</Company>
  <LinksUpToDate>false</LinksUpToDate>
  <CharactersWithSpaces>4928</CharactersWithSpaces>
  <SharedDoc>false</SharedDoc>
  <HyperlinkBase>https://rimj.org/pubs/index.php/journal/article/view/158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Afghanistan: Girls plight to access education</dc:title>
  <dc:subject>Editorial</dc:subject>
  <dc:creator>Neyazi A</dc:creator>
  <cp:keywords/>
  <dc:description/>
  <cp:lastModifiedBy>Ahmad Niazi</cp:lastModifiedBy>
  <cp:revision>2</cp:revision>
  <cp:lastPrinted>2024-05-31T02:30:00Z</cp:lastPrinted>
  <dcterms:created xsi:type="dcterms:W3CDTF">2024-11-30T11:32:00Z</dcterms:created>
  <dcterms:modified xsi:type="dcterms:W3CDTF">2024-11-30T11:32:00Z</dcterms:modified>
  <cp:category>Editorial</cp:category>
  <cp:contentStatus>Published</cp:contentStatus>
</cp:coreProperties>
</file>